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8246A" w14:textId="271D6C68" w:rsidR="00D779F6" w:rsidRPr="00491102" w:rsidRDefault="00300AB1">
      <w:pPr>
        <w:widowControl w:val="0"/>
        <w:pBdr>
          <w:top w:val="nil"/>
          <w:left w:val="nil"/>
          <w:bottom w:val="nil"/>
          <w:right w:val="nil"/>
          <w:between w:val="nil"/>
        </w:pBdr>
        <w:spacing w:after="0" w:line="240" w:lineRule="auto"/>
        <w:jc w:val="center"/>
        <w:rPr>
          <w:rFonts w:ascii="Arial" w:eastAsia="Arial" w:hAnsi="Arial" w:cs="Arial"/>
          <w:b/>
          <w:color w:val="000000"/>
        </w:rPr>
      </w:pPr>
      <w:bookmarkStart w:id="0" w:name="_GoBack"/>
      <w:bookmarkEnd w:id="0"/>
      <w:r w:rsidRPr="00491102">
        <w:rPr>
          <w:rFonts w:ascii="Arial" w:eastAsia="Arial" w:hAnsi="Arial" w:cs="Arial"/>
          <w:b/>
          <w:color w:val="000000"/>
        </w:rPr>
        <w:t>PROYE</w:t>
      </w:r>
      <w:r w:rsidR="00A12BE0">
        <w:rPr>
          <w:rFonts w:ascii="Arial" w:eastAsia="Arial" w:hAnsi="Arial" w:cs="Arial"/>
          <w:b/>
          <w:color w:val="000000"/>
        </w:rPr>
        <w:t xml:space="preserve">CTO DE ACUERDO No. </w:t>
      </w:r>
      <w:r w:rsidR="00AD1392">
        <w:rPr>
          <w:rFonts w:ascii="Arial" w:eastAsia="Arial" w:hAnsi="Arial" w:cs="Arial"/>
          <w:b/>
          <w:color w:val="000000"/>
        </w:rPr>
        <w:t>2</w:t>
      </w:r>
      <w:r w:rsidR="00376A94">
        <w:rPr>
          <w:rFonts w:ascii="Arial" w:eastAsia="Arial" w:hAnsi="Arial" w:cs="Arial"/>
          <w:b/>
          <w:color w:val="000000"/>
        </w:rPr>
        <w:t>8</w:t>
      </w:r>
      <w:r w:rsidR="00AD1392">
        <w:rPr>
          <w:rFonts w:ascii="Arial" w:eastAsia="Arial" w:hAnsi="Arial" w:cs="Arial"/>
          <w:b/>
          <w:color w:val="000000"/>
        </w:rPr>
        <w:t>3</w:t>
      </w:r>
      <w:r w:rsidR="00A12BE0">
        <w:rPr>
          <w:rFonts w:ascii="Arial" w:eastAsia="Arial" w:hAnsi="Arial" w:cs="Arial"/>
          <w:b/>
          <w:color w:val="000000"/>
        </w:rPr>
        <w:t xml:space="preserve"> DE 2025</w:t>
      </w:r>
    </w:p>
    <w:p w14:paraId="5339D72A"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color w:val="000000"/>
        </w:rPr>
      </w:pPr>
    </w:p>
    <w:p w14:paraId="6D004C3C" w14:textId="77777777" w:rsidR="00D779F6" w:rsidRPr="00491102" w:rsidRDefault="00300AB1" w:rsidP="0046564E">
      <w:pPr>
        <w:jc w:val="center"/>
        <w:rPr>
          <w:rFonts w:ascii="Arial" w:eastAsia="Arial" w:hAnsi="Arial" w:cs="Arial"/>
          <w:b/>
          <w:i/>
          <w:color w:val="000000"/>
        </w:rPr>
      </w:pPr>
      <w:r w:rsidRPr="00491102">
        <w:rPr>
          <w:rFonts w:ascii="Arial" w:eastAsia="Arial" w:hAnsi="Arial" w:cs="Arial"/>
          <w:b/>
          <w:i/>
          <w:color w:val="000000"/>
        </w:rPr>
        <w:t>“</w:t>
      </w:r>
      <w:r w:rsidR="0046564E" w:rsidRPr="00491102">
        <w:rPr>
          <w:rFonts w:ascii="Arial" w:eastAsia="Arial" w:hAnsi="Arial" w:cs="Arial"/>
          <w:b/>
          <w:i/>
          <w:color w:val="000000"/>
        </w:rPr>
        <w:t>POR MEDIO DEL CUAL SE ADOPTAN EN EL DISTRITO LOS LINEAMIENTOS PARA LA POLÍTICA PÚBLICA EN ABORDAJE, DIAGNÓSTICO TEMPRANO Y TRATAMIENTO INTEGRAL DE LA ENDOMETRIOSIS QUE TRAE LA LEY 2338 DE 2023</w:t>
      </w:r>
      <w:r w:rsidRPr="00491102">
        <w:rPr>
          <w:rFonts w:ascii="Arial" w:eastAsia="Arial" w:hAnsi="Arial" w:cs="Arial"/>
          <w:b/>
          <w:i/>
          <w:color w:val="000000"/>
        </w:rPr>
        <w:t>”</w:t>
      </w:r>
    </w:p>
    <w:p w14:paraId="3F797BCE"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b/>
          <w:color w:val="000000"/>
        </w:rPr>
      </w:pPr>
    </w:p>
    <w:p w14:paraId="328F57CB" w14:textId="77777777" w:rsidR="00D779F6" w:rsidRPr="00491102" w:rsidRDefault="00300AB1">
      <w:pPr>
        <w:widowControl w:val="0"/>
        <w:pBdr>
          <w:top w:val="nil"/>
          <w:left w:val="nil"/>
          <w:bottom w:val="nil"/>
          <w:right w:val="nil"/>
          <w:between w:val="nil"/>
        </w:pBdr>
        <w:spacing w:after="0" w:line="240" w:lineRule="auto"/>
        <w:rPr>
          <w:rFonts w:ascii="Arial" w:eastAsia="Arial" w:hAnsi="Arial" w:cs="Arial"/>
          <w:b/>
          <w:color w:val="000000"/>
        </w:rPr>
      </w:pPr>
      <w:r w:rsidRPr="00491102">
        <w:rPr>
          <w:rFonts w:ascii="Arial" w:eastAsia="Arial" w:hAnsi="Arial" w:cs="Arial"/>
          <w:b/>
          <w:color w:val="000000"/>
        </w:rPr>
        <w:t xml:space="preserve">OBJETO DEL PROYECTO </w:t>
      </w:r>
    </w:p>
    <w:p w14:paraId="4027C4F0"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b/>
          <w:color w:val="000000"/>
        </w:rPr>
      </w:pPr>
    </w:p>
    <w:p w14:paraId="50BAFBE2" w14:textId="77777777" w:rsidR="00D779F6" w:rsidRPr="00491102" w:rsidRDefault="00300AB1">
      <w:pPr>
        <w:jc w:val="both"/>
        <w:rPr>
          <w:rFonts w:ascii="Arial" w:eastAsia="Arial" w:hAnsi="Arial" w:cs="Arial"/>
          <w:color w:val="000000"/>
        </w:rPr>
      </w:pPr>
      <w:r w:rsidRPr="00491102">
        <w:rPr>
          <w:rFonts w:ascii="Arial" w:eastAsia="Arial" w:hAnsi="Arial" w:cs="Arial"/>
          <w:color w:val="000000"/>
        </w:rPr>
        <w:t xml:space="preserve">Proponer un instrumento normativo que sirva para aplicar en Bogotá los lineamientos de la política pública en </w:t>
      </w:r>
      <w:r w:rsidR="00491102" w:rsidRPr="00491102">
        <w:rPr>
          <w:rFonts w:ascii="Arial" w:eastAsia="Arial" w:hAnsi="Arial" w:cs="Arial"/>
          <w:color w:val="000000"/>
        </w:rPr>
        <w:t>abordaje</w:t>
      </w:r>
      <w:r w:rsidRPr="00491102">
        <w:rPr>
          <w:rFonts w:ascii="Arial" w:eastAsia="Arial" w:hAnsi="Arial" w:cs="Arial"/>
          <w:color w:val="000000"/>
        </w:rPr>
        <w:t xml:space="preserve">, diagnóstico temprano y tratamiento integral de la endometriosis que trae la Ley 2338 de 2023. Buscando también su promoción y sensibilización en la ciudad. </w:t>
      </w:r>
    </w:p>
    <w:p w14:paraId="305DFEFE" w14:textId="77777777" w:rsidR="00D779F6" w:rsidRPr="00491102" w:rsidRDefault="00300AB1" w:rsidP="00491102">
      <w:pPr>
        <w:pStyle w:val="Prrafodelista"/>
        <w:widowControl w:val="0"/>
        <w:numPr>
          <w:ilvl w:val="0"/>
          <w:numId w:val="6"/>
        </w:numPr>
        <w:pBdr>
          <w:top w:val="nil"/>
          <w:left w:val="nil"/>
          <w:bottom w:val="nil"/>
          <w:right w:val="nil"/>
          <w:between w:val="nil"/>
        </w:pBdr>
        <w:spacing w:after="0" w:line="240" w:lineRule="auto"/>
        <w:rPr>
          <w:rFonts w:ascii="Arial" w:eastAsia="Arial" w:hAnsi="Arial" w:cs="Arial"/>
          <w:b/>
          <w:color w:val="000000"/>
        </w:rPr>
      </w:pPr>
      <w:r w:rsidRPr="00491102">
        <w:rPr>
          <w:rFonts w:ascii="Arial" w:eastAsia="Arial" w:hAnsi="Arial" w:cs="Arial"/>
          <w:b/>
          <w:color w:val="000000"/>
        </w:rPr>
        <w:t xml:space="preserve">SUSTENTO JURÍDICO </w:t>
      </w:r>
    </w:p>
    <w:p w14:paraId="210C33B6"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i/>
        </w:rPr>
      </w:pPr>
    </w:p>
    <w:p w14:paraId="6C2893FF" w14:textId="77777777" w:rsidR="00D779F6" w:rsidRPr="00491102" w:rsidRDefault="00300AB1">
      <w:pPr>
        <w:widowControl w:val="0"/>
        <w:pBdr>
          <w:top w:val="nil"/>
          <w:left w:val="nil"/>
          <w:bottom w:val="nil"/>
          <w:right w:val="nil"/>
          <w:between w:val="nil"/>
        </w:pBdr>
        <w:spacing w:after="0" w:line="240" w:lineRule="auto"/>
        <w:rPr>
          <w:rFonts w:ascii="Arial" w:eastAsia="Arial" w:hAnsi="Arial" w:cs="Arial"/>
          <w:b/>
          <w:color w:val="000000"/>
        </w:rPr>
      </w:pPr>
      <w:r w:rsidRPr="00491102">
        <w:rPr>
          <w:rFonts w:ascii="Arial" w:eastAsia="Arial" w:hAnsi="Arial" w:cs="Arial"/>
          <w:b/>
          <w:color w:val="000000"/>
        </w:rPr>
        <w:t>DE ORDEN CONSTITUCIONAL</w:t>
      </w:r>
    </w:p>
    <w:p w14:paraId="6BC29765"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b/>
        </w:rPr>
      </w:pPr>
    </w:p>
    <w:p w14:paraId="2336DDFA"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b/>
          <w:i/>
          <w:color w:val="000000"/>
        </w:rPr>
        <w:t>“Artículo   2. </w:t>
      </w:r>
      <w:r w:rsidRPr="00491102">
        <w:rPr>
          <w:rFonts w:ascii="Arial" w:eastAsia="Arial" w:hAnsi="Arial" w:cs="Arial"/>
          <w:i/>
          <w:color w:val="000000"/>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0AEE8309"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i/>
          <w:color w:val="000000"/>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7B25A11F"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i/>
          <w:color w:val="000000"/>
        </w:rPr>
        <w:t xml:space="preserve">(…) </w:t>
      </w:r>
    </w:p>
    <w:p w14:paraId="6DA30C95"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b/>
          <w:i/>
          <w:color w:val="000000"/>
        </w:rPr>
        <w:t>“Artículo 13. </w:t>
      </w:r>
      <w:r w:rsidRPr="00491102">
        <w:rPr>
          <w:rFonts w:ascii="Arial" w:eastAsia="Arial" w:hAnsi="Arial" w:cs="Arial"/>
          <w:i/>
          <w:color w:val="000000"/>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2326A6BE"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i/>
          <w:color w:val="000000"/>
        </w:rPr>
        <w:t>El Estado promoverá las condiciones para que la igualdad sea real y efectiva y adoptará medidas en favor de grupos discriminados o marginados.</w:t>
      </w:r>
    </w:p>
    <w:p w14:paraId="1CD78F2F"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i/>
          <w:color w:val="000000"/>
        </w:rPr>
        <w:t>El Estado protegerá especialmente a aquellas personas que, por su condición económica, física o mental, se encuentren en circunstancia de debilidad manifiesta y sancionará los abusos o maltratos que contra ellas se cometan.”</w:t>
      </w:r>
    </w:p>
    <w:p w14:paraId="149CAE7B"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rPr>
      </w:pPr>
      <w:r w:rsidRPr="00491102">
        <w:rPr>
          <w:rFonts w:ascii="Arial" w:eastAsia="Arial" w:hAnsi="Arial" w:cs="Arial"/>
          <w:i/>
          <w:color w:val="000000"/>
        </w:rPr>
        <w:t xml:space="preserve">(…) </w:t>
      </w:r>
    </w:p>
    <w:p w14:paraId="59DE6532"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i/>
          <w:color w:val="000000"/>
          <w:highlight w:val="white"/>
        </w:rPr>
      </w:pPr>
      <w:r w:rsidRPr="00491102">
        <w:rPr>
          <w:rFonts w:ascii="Arial" w:eastAsia="Arial" w:hAnsi="Arial" w:cs="Arial"/>
          <w:b/>
          <w:i/>
          <w:color w:val="000000"/>
        </w:rPr>
        <w:lastRenderedPageBreak/>
        <w:t xml:space="preserve">“Artículo 49. </w:t>
      </w:r>
      <w:r w:rsidRPr="00491102">
        <w:rPr>
          <w:rFonts w:ascii="Arial" w:eastAsia="Arial" w:hAnsi="Arial" w:cs="Arial"/>
          <w:i/>
          <w:color w:val="000000"/>
          <w:highlight w:val="white"/>
        </w:rPr>
        <w:t>La atención de la salud y el saneamiento ambiental son servicios públicos a cargo del Estado. Se garantiza a todas las personas el acceso a los servicios de promoción, protección y recuperación de la salud.”</w:t>
      </w:r>
    </w:p>
    <w:p w14:paraId="43DD1810"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b/>
          <w:i/>
          <w:color w:val="000000"/>
        </w:rPr>
      </w:pPr>
      <w:r w:rsidRPr="00491102">
        <w:rPr>
          <w:rFonts w:ascii="Arial" w:eastAsia="Arial" w:hAnsi="Arial" w:cs="Arial"/>
          <w:i/>
          <w:color w:val="000000"/>
          <w:highlight w:val="white"/>
        </w:rPr>
        <w:t xml:space="preserve">(…) </w:t>
      </w:r>
    </w:p>
    <w:p w14:paraId="13F1030B" w14:textId="77777777" w:rsidR="00D779F6" w:rsidRPr="00491102" w:rsidRDefault="00300AB1">
      <w:pPr>
        <w:shd w:val="clear" w:color="auto" w:fill="FFFFFF"/>
        <w:spacing w:after="0" w:line="240" w:lineRule="auto"/>
        <w:ind w:right="106"/>
        <w:jc w:val="both"/>
        <w:rPr>
          <w:rFonts w:ascii="Arial" w:eastAsia="Arial" w:hAnsi="Arial" w:cs="Arial"/>
          <w:color w:val="000000"/>
        </w:rPr>
      </w:pPr>
      <w:r w:rsidRPr="00491102">
        <w:rPr>
          <w:rFonts w:ascii="Arial" w:eastAsia="Arial" w:hAnsi="Arial" w:cs="Arial"/>
          <w:color w:val="000000"/>
        </w:rPr>
        <w:t>“</w:t>
      </w:r>
      <w:r w:rsidRPr="00491102">
        <w:rPr>
          <w:rFonts w:ascii="Arial" w:eastAsia="Arial" w:hAnsi="Arial" w:cs="Arial"/>
          <w:b/>
          <w:color w:val="000000"/>
        </w:rPr>
        <w:t>Artículo </w:t>
      </w:r>
      <w:hyperlink r:id="rId9" w:anchor="209">
        <w:r w:rsidRPr="00491102">
          <w:rPr>
            <w:rFonts w:ascii="Arial" w:eastAsia="Arial" w:hAnsi="Arial" w:cs="Arial"/>
            <w:b/>
            <w:color w:val="000000"/>
          </w:rPr>
          <w:t>209</w:t>
        </w:r>
      </w:hyperlink>
      <w:r w:rsidRPr="00491102">
        <w:rPr>
          <w:rFonts w:ascii="Arial" w:eastAsia="Arial" w:hAnsi="Arial" w:cs="Arial"/>
          <w:b/>
          <w:color w:val="000000"/>
        </w:rPr>
        <w:t>.</w:t>
      </w:r>
      <w:r w:rsidRPr="00491102">
        <w:rPr>
          <w:rFonts w:ascii="Arial" w:eastAsia="Arial" w:hAnsi="Arial" w:cs="Arial"/>
          <w:color w:val="000000"/>
        </w:rPr>
        <w:t xml:space="preserve"> </w:t>
      </w:r>
      <w:r w:rsidRPr="00491102">
        <w:rPr>
          <w:rFonts w:ascii="Arial" w:eastAsia="Arial" w:hAnsi="Arial" w:cs="Arial"/>
          <w:i/>
          <w:color w:val="000000"/>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491102">
        <w:rPr>
          <w:rFonts w:ascii="Arial" w:eastAsia="Arial" w:hAnsi="Arial" w:cs="Arial"/>
          <w:color w:val="000000"/>
        </w:rPr>
        <w:t>.</w:t>
      </w:r>
    </w:p>
    <w:p w14:paraId="200E7FAF" w14:textId="77777777" w:rsidR="00D779F6" w:rsidRPr="00491102" w:rsidRDefault="00D779F6">
      <w:pPr>
        <w:shd w:val="clear" w:color="auto" w:fill="FFFFFF"/>
        <w:spacing w:after="0" w:line="240" w:lineRule="auto"/>
        <w:ind w:right="106"/>
        <w:jc w:val="both"/>
        <w:rPr>
          <w:rFonts w:ascii="Arial" w:eastAsia="Arial" w:hAnsi="Arial" w:cs="Arial"/>
        </w:rPr>
      </w:pPr>
    </w:p>
    <w:p w14:paraId="67452960" w14:textId="77777777" w:rsidR="00D779F6" w:rsidRPr="00491102" w:rsidRDefault="00300AB1" w:rsidP="006D67E5">
      <w:pPr>
        <w:shd w:val="clear" w:color="auto" w:fill="FFFFFF"/>
        <w:spacing w:before="240" w:after="240" w:line="276" w:lineRule="auto"/>
        <w:jc w:val="both"/>
        <w:rPr>
          <w:rFonts w:ascii="Arial" w:eastAsia="Arial" w:hAnsi="Arial" w:cs="Arial"/>
        </w:rPr>
      </w:pPr>
      <w:r w:rsidRPr="00491102">
        <w:rPr>
          <w:rFonts w:ascii="Arial" w:eastAsia="Arial" w:hAnsi="Arial" w:cs="Arial"/>
          <w:b/>
        </w:rPr>
        <w:t>Artículo 366.</w:t>
      </w:r>
      <w:r w:rsidRPr="00491102">
        <w:rPr>
          <w:rFonts w:ascii="Arial" w:eastAsia="Arial" w:hAnsi="Arial" w:cs="Arial"/>
        </w:rPr>
        <w:t xml:space="preserve"> El bienestar general y el mejoramiento de la calidad de vida de la población son finalidades sociales del Estado. Será objetivo fundamental de su actividad la solución de las necesidades insatisfechas de salud, de educación, de saneamiento ambiental y de agua potable. Para tales efectos, en los planes y presupuestos de la Nación y de las entidades territoriales, el gasto público social tendrá prioridad sobre cualquier otra asignación.</w:t>
      </w:r>
    </w:p>
    <w:p w14:paraId="635128AE" w14:textId="77777777" w:rsidR="00D779F6" w:rsidRPr="00491102" w:rsidRDefault="00300AB1">
      <w:pPr>
        <w:numPr>
          <w:ilvl w:val="0"/>
          <w:numId w:val="2"/>
        </w:numPr>
        <w:spacing w:after="0" w:line="240" w:lineRule="auto"/>
        <w:jc w:val="both"/>
        <w:rPr>
          <w:rFonts w:ascii="Arial" w:eastAsia="Arial" w:hAnsi="Arial" w:cs="Arial"/>
          <w:b/>
          <w:color w:val="000000"/>
        </w:rPr>
      </w:pPr>
      <w:r w:rsidRPr="00491102">
        <w:rPr>
          <w:rFonts w:ascii="Arial" w:eastAsia="Arial" w:hAnsi="Arial" w:cs="Arial"/>
          <w:b/>
          <w:color w:val="000000"/>
        </w:rPr>
        <w:t>DE ORDEN LEGAL</w:t>
      </w:r>
    </w:p>
    <w:p w14:paraId="3B928F20" w14:textId="77777777" w:rsidR="00D779F6" w:rsidRPr="00491102" w:rsidRDefault="00300AB1">
      <w:pPr>
        <w:shd w:val="clear" w:color="auto" w:fill="FFFFFF"/>
        <w:spacing w:before="280"/>
        <w:jc w:val="both"/>
        <w:rPr>
          <w:rFonts w:ascii="Arial" w:eastAsia="Arial" w:hAnsi="Arial" w:cs="Arial"/>
          <w:b/>
          <w:color w:val="000000"/>
        </w:rPr>
      </w:pPr>
      <w:r w:rsidRPr="00491102">
        <w:rPr>
          <w:rFonts w:ascii="Arial" w:eastAsia="Arial" w:hAnsi="Arial" w:cs="Arial"/>
          <w:b/>
          <w:color w:val="000000"/>
        </w:rPr>
        <w:t xml:space="preserve">Ley Estatutaria 1551 de 2015 </w:t>
      </w:r>
      <w:r w:rsidRPr="00491102">
        <w:rPr>
          <w:rFonts w:ascii="Arial" w:eastAsia="Arial" w:hAnsi="Arial" w:cs="Arial"/>
          <w:b/>
          <w:i/>
          <w:color w:val="000000"/>
        </w:rPr>
        <w:t xml:space="preserve">“Por medio de la cual se regula el derecho fundamental a la salud y se dictan otras disposiciones” </w:t>
      </w:r>
    </w:p>
    <w:p w14:paraId="00899865" w14:textId="77777777" w:rsidR="00D779F6" w:rsidRPr="00491102" w:rsidRDefault="00300AB1">
      <w:pPr>
        <w:shd w:val="clear" w:color="auto" w:fill="FFFFFF"/>
        <w:spacing w:before="280"/>
        <w:jc w:val="both"/>
        <w:rPr>
          <w:rFonts w:ascii="Arial" w:eastAsia="Arial" w:hAnsi="Arial" w:cs="Arial"/>
          <w:i/>
          <w:color w:val="000000"/>
        </w:rPr>
      </w:pPr>
      <w:r w:rsidRPr="00491102">
        <w:rPr>
          <w:rFonts w:ascii="Arial" w:eastAsia="Arial" w:hAnsi="Arial" w:cs="Arial"/>
          <w:b/>
          <w:i/>
          <w:color w:val="000000"/>
        </w:rPr>
        <w:t>“Artículo 1°. Objeto. </w:t>
      </w:r>
      <w:r w:rsidRPr="00491102">
        <w:rPr>
          <w:rFonts w:ascii="Arial" w:eastAsia="Arial" w:hAnsi="Arial" w:cs="Arial"/>
          <w:i/>
          <w:color w:val="000000"/>
        </w:rPr>
        <w:t>La presente ley tiene por objeto garantizar el derecho fundamental a la salud, regularlo y establecer sus mecanismos de protección.</w:t>
      </w:r>
    </w:p>
    <w:p w14:paraId="39A7FF08" w14:textId="77777777" w:rsidR="00D779F6" w:rsidRPr="00491102" w:rsidRDefault="00300AB1">
      <w:pPr>
        <w:shd w:val="clear" w:color="auto" w:fill="FFFFFF"/>
        <w:spacing w:before="280"/>
        <w:jc w:val="both"/>
        <w:rPr>
          <w:rFonts w:ascii="Arial" w:eastAsia="Arial" w:hAnsi="Arial" w:cs="Arial"/>
          <w:i/>
          <w:color w:val="000000"/>
        </w:rPr>
      </w:pPr>
      <w:r w:rsidRPr="00491102">
        <w:rPr>
          <w:rFonts w:ascii="Arial" w:eastAsia="Arial" w:hAnsi="Arial" w:cs="Arial"/>
          <w:b/>
          <w:i/>
          <w:color w:val="000000"/>
        </w:rPr>
        <w:t>Artículo 2°. Naturaleza y contenido del derecho fundamental a la salud. </w:t>
      </w:r>
      <w:r w:rsidRPr="00491102">
        <w:rPr>
          <w:rFonts w:ascii="Arial" w:eastAsia="Arial" w:hAnsi="Arial" w:cs="Arial"/>
          <w:i/>
          <w:color w:val="000000"/>
        </w:rPr>
        <w:t>El derecho fundamental a la salud es autónomo e irrenunciable en lo individual y en lo colectivo.</w:t>
      </w:r>
    </w:p>
    <w:p w14:paraId="7CEFB36A" w14:textId="77777777" w:rsidR="00D779F6" w:rsidRPr="00491102" w:rsidRDefault="00300AB1">
      <w:pPr>
        <w:shd w:val="clear" w:color="auto" w:fill="FFFFFF"/>
        <w:spacing w:before="280"/>
        <w:jc w:val="both"/>
        <w:rPr>
          <w:rFonts w:ascii="Arial" w:eastAsia="Arial" w:hAnsi="Arial" w:cs="Arial"/>
          <w:i/>
        </w:rPr>
      </w:pPr>
      <w:r w:rsidRPr="00491102">
        <w:rPr>
          <w:rFonts w:ascii="Arial" w:eastAsia="Arial" w:hAnsi="Arial" w:cs="Arial"/>
          <w:i/>
          <w:color w:val="000000"/>
        </w:rPr>
        <w:t>Comprende el acceso a los servicios de salud de manera oportuna, eficaz y con calidad para la preservación, el mejoramiento y la promoción de la salud. El Estado adoptará políticas para asegurar la igualdad de trato y oportunidades en el acceso a las actividades de promoción, prevención, diagnóstico, tratamiento, rehabilitación y paliación para todas las personas. De conformidad con el artículo </w:t>
      </w:r>
      <w:r w:rsidRPr="00491102">
        <w:rPr>
          <w:rFonts w:ascii="Arial" w:eastAsia="Arial" w:hAnsi="Arial" w:cs="Arial"/>
          <w:i/>
          <w:color w:val="000000"/>
          <w:u w:val="single"/>
        </w:rPr>
        <w:t>49</w:t>
      </w:r>
      <w:r w:rsidRPr="00491102">
        <w:rPr>
          <w:rFonts w:ascii="Arial" w:eastAsia="Arial" w:hAnsi="Arial" w:cs="Arial"/>
          <w:i/>
          <w:color w:val="000000"/>
        </w:rPr>
        <w:t> de la Constitución Política, su prestación como servicio público esencial obligatorio, se ejecuta bajo la indelegable dirección, supervisión, organización, regulación, coordinación y control del Estado.”</w:t>
      </w:r>
    </w:p>
    <w:p w14:paraId="12C2E930"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b/>
          <w:i/>
        </w:rPr>
        <w:t xml:space="preserve">LEY 715 DE 2001: “Por la cual se dictan normas orgánicas en materia de recursos y competencias de conformidad con los artículos 151, 288, 356 y 357 (Acto Legislativo </w:t>
      </w:r>
      <w:r w:rsidRPr="00491102">
        <w:rPr>
          <w:rFonts w:ascii="Arial" w:eastAsia="Arial" w:hAnsi="Arial" w:cs="Arial"/>
          <w:b/>
          <w:i/>
        </w:rPr>
        <w:lastRenderedPageBreak/>
        <w:t>01 de 2001) de la Constitución Política y se dictan otras disposiciones para organizar la prestación de los servicios de educación y salud, entre otros”:</w:t>
      </w:r>
    </w:p>
    <w:p w14:paraId="5A789DB1"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Artículo 44. Competencias de los municipios. Corresponde a los municipios dirigir y coordinar el sector salud y el Sistema General de Seguridad Social en Salud en el ámbito de su jurisdicción, para lo cual cumplirán las siguientes funciones, sin perjuicio de las asignadas en otras disposiciones:</w:t>
      </w:r>
    </w:p>
    <w:p w14:paraId="60468589"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w:t>
      </w:r>
    </w:p>
    <w:p w14:paraId="0C7DCABD"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44.1 De dirección del sector en el ámbito municipal:</w:t>
      </w:r>
    </w:p>
    <w:p w14:paraId="50D772B3"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44.1.1. Formular, ejecutar y evaluar planes, programas y proyectos en salud, en armonía con las políticas y disposiciones del orden nacional y departamental.</w:t>
      </w:r>
    </w:p>
    <w:p w14:paraId="74582626"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w:t>
      </w:r>
    </w:p>
    <w:p w14:paraId="74BC79EF"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44.3. De Salud Pública</w:t>
      </w:r>
    </w:p>
    <w:p w14:paraId="7D9EC905"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44.3.1. Adoptar, implementar y adaptar las políticas y planes en salud pública de conformidad con las disposiciones del orden nacional y departamental, así como formular, ejecutar y evaluar el Plan de Atención Básica municipal.</w:t>
      </w:r>
    </w:p>
    <w:p w14:paraId="4F92C71E"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44.3.2. Establecer la situación de salud en el municipio y propender por el mejoramiento de las condiciones determinantes de dicha situación. De igual forma, promoverá la coordinación, cooperación e integración funcional de los diferentes sectores para la formulación y ejecución de los planes, programas y proyectos en salud pública en su ámbito territorial.</w:t>
      </w:r>
    </w:p>
    <w:p w14:paraId="4CED9EF1" w14:textId="77777777" w:rsidR="00D779F6" w:rsidRPr="00491102" w:rsidRDefault="00300AB1">
      <w:pPr>
        <w:shd w:val="clear" w:color="auto" w:fill="FFFFFF"/>
        <w:spacing w:before="240" w:after="240" w:line="276" w:lineRule="auto"/>
        <w:jc w:val="both"/>
        <w:rPr>
          <w:rFonts w:ascii="Arial" w:eastAsia="Arial" w:hAnsi="Arial" w:cs="Arial"/>
          <w:i/>
        </w:rPr>
      </w:pPr>
      <w:r w:rsidRPr="00491102">
        <w:rPr>
          <w:rFonts w:ascii="Arial" w:eastAsia="Arial" w:hAnsi="Arial" w:cs="Arial"/>
          <w:i/>
        </w:rPr>
        <w:t>Artículo 46. Competencias en Salud Pública. La gestión en salud pública es función esencial del Estado y para tal fin la Nación y las entidades territoriales concurrirán en su ejecución en los términos señalados en la presente ley. Las entidades territoriales tendrán a su cargo la ejecución de las acciones de salud pública en la promoción y prevención dirigidas a la población de su jurisdicción. (…)</w:t>
      </w:r>
    </w:p>
    <w:p w14:paraId="52F7639C" w14:textId="77777777" w:rsidR="00D779F6" w:rsidRPr="00491102" w:rsidRDefault="00300AB1">
      <w:pPr>
        <w:spacing w:before="240" w:after="240" w:line="276" w:lineRule="auto"/>
        <w:jc w:val="both"/>
        <w:rPr>
          <w:rFonts w:ascii="Arial" w:eastAsia="Arial" w:hAnsi="Arial" w:cs="Arial"/>
          <w:b/>
        </w:rPr>
      </w:pPr>
      <w:r w:rsidRPr="00491102">
        <w:rPr>
          <w:rFonts w:ascii="Arial" w:eastAsia="Arial" w:hAnsi="Arial" w:cs="Arial"/>
          <w:b/>
        </w:rPr>
        <w:t xml:space="preserve"> 2.5. LEY ESTATUTARIA 1751 DE 2015: “por medio de la cual se regula el derecho fundamental a la salud y se dictan otras disposiciones”.</w:t>
      </w:r>
    </w:p>
    <w:p w14:paraId="77B52C43" w14:textId="77777777" w:rsidR="00D779F6" w:rsidRPr="00491102" w:rsidRDefault="00300AB1">
      <w:pPr>
        <w:spacing w:before="240" w:after="240" w:line="276" w:lineRule="auto"/>
        <w:jc w:val="both"/>
        <w:rPr>
          <w:rFonts w:ascii="Arial" w:eastAsia="Arial" w:hAnsi="Arial" w:cs="Arial"/>
        </w:rPr>
      </w:pPr>
      <w:r w:rsidRPr="00491102">
        <w:rPr>
          <w:rFonts w:ascii="Arial" w:eastAsia="Arial" w:hAnsi="Arial" w:cs="Arial"/>
        </w:rPr>
        <w:t>Artículo 1°. Objeto. La presente ley tiene por objeto garantizar el derecho fundamental a la salud, regularlo y establecer sus mecanismos de protección.</w:t>
      </w:r>
    </w:p>
    <w:p w14:paraId="7C700950" w14:textId="77777777" w:rsidR="00D779F6" w:rsidRPr="00491102" w:rsidRDefault="00300AB1">
      <w:pPr>
        <w:spacing w:before="240" w:after="240" w:line="276" w:lineRule="auto"/>
        <w:jc w:val="both"/>
        <w:rPr>
          <w:rFonts w:ascii="Arial" w:eastAsia="Arial" w:hAnsi="Arial" w:cs="Arial"/>
        </w:rPr>
      </w:pPr>
      <w:r w:rsidRPr="00491102">
        <w:rPr>
          <w:rFonts w:ascii="Arial" w:eastAsia="Arial" w:hAnsi="Arial" w:cs="Arial"/>
        </w:rPr>
        <w:t>Artículo 2°. Naturaleza y contenido del derecho fundamental a la salud. El derecho fundamental a la salud es autónomo e irrenunciable en lo individual y en lo colectivo.</w:t>
      </w:r>
    </w:p>
    <w:p w14:paraId="71222F61" w14:textId="77777777" w:rsidR="00D779F6" w:rsidRPr="00491102" w:rsidRDefault="00300AB1">
      <w:pPr>
        <w:spacing w:before="240" w:after="240" w:line="276" w:lineRule="auto"/>
        <w:jc w:val="both"/>
        <w:rPr>
          <w:rFonts w:ascii="Arial" w:eastAsia="Arial" w:hAnsi="Arial" w:cs="Arial"/>
        </w:rPr>
      </w:pPr>
      <w:r w:rsidRPr="00491102">
        <w:rPr>
          <w:rFonts w:ascii="Arial" w:eastAsia="Arial" w:hAnsi="Arial" w:cs="Arial"/>
        </w:rPr>
        <w:t>Comprende el acceso a los servicios de salud de manera oportuna, eficaz y con calidad para la preservación, el mejoramiento y la promoción de la salud. El Estado adoptará políticas para asegurar la igualdad de trato y oportunidades en el acceso a las actividades de promoción, prevención, diagnóstico, tratamiento, rehabilitación y paliación para todas las personas. De conformidad con el artículo 49 de la Constitución Política, su prestación como servicio público esencial obligatorio, se ejecuta bajo la indelegable dirección, supervisión, organización, regulación, coordinación y control del Estado.</w:t>
      </w:r>
    </w:p>
    <w:p w14:paraId="47809D0A" w14:textId="77777777" w:rsidR="00D779F6" w:rsidRPr="00491102" w:rsidRDefault="00300AB1" w:rsidP="006D67E5">
      <w:pPr>
        <w:spacing w:before="240" w:after="240" w:line="276" w:lineRule="auto"/>
        <w:jc w:val="both"/>
        <w:rPr>
          <w:rFonts w:ascii="Arial" w:eastAsia="Arial" w:hAnsi="Arial" w:cs="Arial"/>
          <w:i/>
          <w:color w:val="FF0000"/>
        </w:rPr>
      </w:pPr>
      <w:r w:rsidRPr="00491102">
        <w:rPr>
          <w:rFonts w:ascii="Arial" w:eastAsia="Arial" w:hAnsi="Arial" w:cs="Arial"/>
        </w:rPr>
        <w:t>2.6. Resolución 429 de 2016, del Ministerio de Salud y Protección Social definió la Política de Atención Integral en Salud (PAIS), cuyo objetivo general es orientar el sistema hacia la generación de las mejores condiciones de salud de la población mediante la regulación de las condiciones de intervención de los agentes hacia el “acceso a los servicios de salud de manera oportuna, eficaz y con calidad para la preservación, el mejoramiento y la promoción de la salud”</w:t>
      </w:r>
    </w:p>
    <w:p w14:paraId="2C156BC4" w14:textId="77777777" w:rsidR="00D779F6" w:rsidRPr="00491102" w:rsidRDefault="00300AB1">
      <w:pPr>
        <w:pBdr>
          <w:top w:val="nil"/>
          <w:left w:val="nil"/>
          <w:bottom w:val="nil"/>
          <w:right w:val="nil"/>
          <w:between w:val="nil"/>
        </w:pBdr>
        <w:shd w:val="clear" w:color="auto" w:fill="FFFFFF"/>
        <w:spacing w:line="240" w:lineRule="auto"/>
        <w:jc w:val="both"/>
        <w:rPr>
          <w:rFonts w:ascii="Arial" w:eastAsia="Arial" w:hAnsi="Arial" w:cs="Arial"/>
          <w:b/>
          <w:color w:val="000000"/>
          <w:highlight w:val="white"/>
        </w:rPr>
      </w:pPr>
      <w:r w:rsidRPr="00491102">
        <w:rPr>
          <w:rFonts w:ascii="Arial" w:eastAsia="Arial" w:hAnsi="Arial" w:cs="Arial"/>
          <w:b/>
          <w:color w:val="000000"/>
        </w:rPr>
        <w:t>Decreto 2968 de 2010</w:t>
      </w:r>
      <w:r w:rsidRPr="00491102">
        <w:rPr>
          <w:rFonts w:ascii="Arial" w:eastAsia="Arial" w:hAnsi="Arial" w:cs="Arial"/>
          <w:color w:val="000000"/>
        </w:rPr>
        <w:t xml:space="preserve">. </w:t>
      </w:r>
      <w:r w:rsidRPr="00491102">
        <w:rPr>
          <w:rFonts w:ascii="Arial" w:eastAsia="Arial" w:hAnsi="Arial" w:cs="Arial"/>
          <w:i/>
          <w:color w:val="000000"/>
        </w:rPr>
        <w:t>“</w:t>
      </w:r>
      <w:r w:rsidRPr="00491102">
        <w:rPr>
          <w:rFonts w:ascii="Arial" w:eastAsia="Arial" w:hAnsi="Arial" w:cs="Arial"/>
          <w:b/>
          <w:i/>
          <w:color w:val="000000"/>
          <w:highlight w:val="white"/>
        </w:rPr>
        <w:t>Por el cual se crea la Comisión Nacional Intersectorial para la Promoción y Garantía de los Derechos Sexuales y Reproductivos.”</w:t>
      </w:r>
    </w:p>
    <w:p w14:paraId="4CD3FD98" w14:textId="77777777" w:rsidR="00D779F6" w:rsidRPr="00491102" w:rsidRDefault="00300AB1">
      <w:pPr>
        <w:pBdr>
          <w:top w:val="nil"/>
          <w:left w:val="nil"/>
          <w:bottom w:val="nil"/>
          <w:right w:val="nil"/>
          <w:between w:val="nil"/>
        </w:pBdr>
        <w:spacing w:line="240" w:lineRule="auto"/>
        <w:jc w:val="both"/>
        <w:rPr>
          <w:rFonts w:ascii="Arial" w:eastAsia="Arial" w:hAnsi="Arial" w:cs="Arial"/>
          <w:color w:val="000000"/>
        </w:rPr>
      </w:pPr>
      <w:r w:rsidRPr="00491102">
        <w:rPr>
          <w:rFonts w:ascii="Arial" w:eastAsia="Arial" w:hAnsi="Arial" w:cs="Arial"/>
          <w:b/>
          <w:color w:val="000000"/>
        </w:rPr>
        <w:t>Artículo 1°. Objeto.</w:t>
      </w:r>
      <w:r w:rsidRPr="00491102">
        <w:rPr>
          <w:rFonts w:ascii="Arial" w:eastAsia="Arial" w:hAnsi="Arial" w:cs="Arial"/>
          <w:color w:val="000000"/>
        </w:rPr>
        <w:t> El presente decreto tiene por objeto crear la Comisión Nacional Intersectorial para la Promoción y Garantía de los Derechos Sexuales y Reproductivos con el fin de armonizar las políticas orientadas a la formulación e implementación de planes programas y acciones necesarias para la ejecución de las políticas relacionadas con la promoción y garantía de los derechos sexuales y reproductivos.</w:t>
      </w:r>
    </w:p>
    <w:p w14:paraId="7BB47D51" w14:textId="77777777" w:rsidR="00D779F6" w:rsidRPr="00491102" w:rsidRDefault="00300AB1">
      <w:pPr>
        <w:shd w:val="clear" w:color="auto" w:fill="FFFFFF"/>
        <w:jc w:val="both"/>
        <w:rPr>
          <w:rFonts w:ascii="Arial" w:hAnsi="Arial" w:cs="Arial"/>
          <w:color w:val="000000"/>
        </w:rPr>
      </w:pPr>
      <w:r w:rsidRPr="00491102">
        <w:rPr>
          <w:rFonts w:ascii="Arial" w:eastAsia="Arial" w:hAnsi="Arial" w:cs="Arial"/>
          <w:b/>
          <w:color w:val="000000"/>
        </w:rPr>
        <w:t>Ley 2338 de 2023</w:t>
      </w:r>
      <w:r w:rsidRPr="00491102">
        <w:rPr>
          <w:rFonts w:ascii="Arial" w:hAnsi="Arial" w:cs="Arial"/>
          <w:color w:val="000000"/>
        </w:rPr>
        <w:t xml:space="preserve"> “</w:t>
      </w:r>
      <w:r w:rsidRPr="00491102">
        <w:rPr>
          <w:rFonts w:ascii="Arial" w:eastAsia="Arial" w:hAnsi="Arial" w:cs="Arial"/>
          <w:i/>
          <w:color w:val="000000"/>
        </w:rPr>
        <w:t>Por medio de la cual se establecen los lineamientos para la política pública en prevención, diagnóstico temprano y tratamiento integral de la endometriosis, para la promoción y sensibilización ante la enfermedad y se dictan otras disposiciones”</w:t>
      </w:r>
    </w:p>
    <w:p w14:paraId="5638891B" w14:textId="77777777" w:rsidR="00D779F6" w:rsidRPr="00491102" w:rsidRDefault="00300AB1">
      <w:pPr>
        <w:shd w:val="clear" w:color="auto" w:fill="FFFFFF"/>
        <w:jc w:val="both"/>
        <w:rPr>
          <w:rFonts w:ascii="Arial" w:hAnsi="Arial" w:cs="Arial"/>
          <w:i/>
          <w:color w:val="000000"/>
        </w:rPr>
      </w:pPr>
      <w:r w:rsidRPr="00491102">
        <w:rPr>
          <w:rFonts w:ascii="Arial" w:eastAsia="Arial" w:hAnsi="Arial" w:cs="Arial"/>
          <w:i/>
          <w:color w:val="000000"/>
        </w:rPr>
        <w:t>“</w:t>
      </w:r>
      <w:r w:rsidRPr="00491102">
        <w:rPr>
          <w:rFonts w:ascii="Arial" w:eastAsia="Arial" w:hAnsi="Arial" w:cs="Arial"/>
          <w:b/>
          <w:i/>
          <w:color w:val="000000"/>
        </w:rPr>
        <w:t>Artículo.1º</w:t>
      </w:r>
      <w:r w:rsidRPr="00491102">
        <w:rPr>
          <w:rFonts w:ascii="Arial" w:hAnsi="Arial" w:cs="Arial"/>
          <w:i/>
          <w:color w:val="000000"/>
        </w:rPr>
        <w:t> </w:t>
      </w:r>
      <w:r w:rsidRPr="00491102">
        <w:rPr>
          <w:rFonts w:ascii="Arial" w:eastAsia="Arial" w:hAnsi="Arial" w:cs="Arial"/>
          <w:b/>
          <w:i/>
          <w:color w:val="000000"/>
        </w:rPr>
        <w:t>Objeto</w:t>
      </w:r>
      <w:r w:rsidRPr="00491102">
        <w:rPr>
          <w:rFonts w:ascii="Arial" w:eastAsia="Arial" w:hAnsi="Arial" w:cs="Arial"/>
          <w:i/>
          <w:color w:val="000000"/>
        </w:rPr>
        <w:t>. La presente ley tiene por objeto establecer los principios, contenidos y disposiciones de la política pública de prevención, acceso completo a la detección, diagnóstico temprano, estudios, control, tratamiento y terapias necesarias para el abordaje integral de la endometriosis y garantizar el derecho a la salud de las personas con diagnóstico o presunción de endometriosis, así como la concientización de la población.</w:t>
      </w:r>
    </w:p>
    <w:p w14:paraId="51F0B43D" w14:textId="77777777" w:rsidR="00D779F6" w:rsidRPr="00491102" w:rsidRDefault="00300AB1">
      <w:pPr>
        <w:shd w:val="clear" w:color="auto" w:fill="FFFFFF"/>
        <w:jc w:val="both"/>
        <w:rPr>
          <w:rFonts w:ascii="Arial" w:hAnsi="Arial" w:cs="Arial"/>
          <w:i/>
          <w:color w:val="000000"/>
        </w:rPr>
      </w:pPr>
      <w:r w:rsidRPr="00491102">
        <w:rPr>
          <w:rFonts w:ascii="Arial" w:eastAsia="Arial" w:hAnsi="Arial" w:cs="Arial"/>
          <w:b/>
          <w:i/>
          <w:color w:val="000000"/>
        </w:rPr>
        <w:t>Artículo.2º</w:t>
      </w:r>
      <w:r w:rsidRPr="00491102">
        <w:rPr>
          <w:rFonts w:ascii="Arial" w:hAnsi="Arial" w:cs="Arial"/>
          <w:i/>
          <w:color w:val="000000"/>
        </w:rPr>
        <w:t> </w:t>
      </w:r>
      <w:r w:rsidRPr="00491102">
        <w:rPr>
          <w:rFonts w:ascii="Arial" w:eastAsia="Arial" w:hAnsi="Arial" w:cs="Arial"/>
          <w:b/>
          <w:i/>
          <w:color w:val="000000"/>
        </w:rPr>
        <w:t>Definiciones</w:t>
      </w:r>
      <w:r w:rsidRPr="00491102">
        <w:rPr>
          <w:rFonts w:ascii="Arial" w:eastAsia="Arial" w:hAnsi="Arial" w:cs="Arial"/>
          <w:i/>
          <w:color w:val="000000"/>
        </w:rPr>
        <w:t>. Para efectos de la presente ley se comprenderán las siguientes definiciones:</w:t>
      </w:r>
    </w:p>
    <w:p w14:paraId="1A3F636D" w14:textId="77777777" w:rsidR="00D779F6" w:rsidRPr="00491102" w:rsidRDefault="00300AB1">
      <w:pPr>
        <w:shd w:val="clear" w:color="auto" w:fill="FFFFFF"/>
        <w:jc w:val="both"/>
        <w:rPr>
          <w:rFonts w:ascii="Arial" w:hAnsi="Arial" w:cs="Arial"/>
          <w:i/>
          <w:color w:val="000000"/>
        </w:rPr>
      </w:pPr>
      <w:r w:rsidRPr="00491102">
        <w:rPr>
          <w:rFonts w:ascii="Arial" w:eastAsia="Arial" w:hAnsi="Arial" w:cs="Arial"/>
          <w:b/>
          <w:i/>
          <w:color w:val="000000"/>
        </w:rPr>
        <w:t>1)</w:t>
      </w:r>
      <w:r w:rsidRPr="00491102">
        <w:rPr>
          <w:rFonts w:ascii="Arial" w:hAnsi="Arial" w:cs="Arial"/>
          <w:i/>
          <w:color w:val="000000"/>
        </w:rPr>
        <w:t> </w:t>
      </w:r>
      <w:r w:rsidRPr="00491102">
        <w:rPr>
          <w:rFonts w:ascii="Arial" w:eastAsia="Arial" w:hAnsi="Arial" w:cs="Arial"/>
          <w:b/>
          <w:i/>
          <w:color w:val="000000"/>
        </w:rPr>
        <w:t>Endometriosis</w:t>
      </w:r>
      <w:r w:rsidRPr="00491102">
        <w:rPr>
          <w:rFonts w:ascii="Arial" w:eastAsia="Arial" w:hAnsi="Arial" w:cs="Arial"/>
          <w:i/>
          <w:color w:val="000000"/>
        </w:rPr>
        <w:t>. Enfermedad ginecológica y sistémica que afecta a las mujeres en edad reproductiva, de origen multifactorial donde el endometrio (tejido que recubre la parte interna del útero) se implanta y crece fuera de este. Tiene diferentes abordajes terapéuticos en función a su localización: Tipo I (endometriosis peritoneal superficial), Tipo II (endometriosis ovárica) y Tipo III (endometriosis profunda). Así como, en función al avance de la enfermedad: Fase I (mínima), Fase III (leve), Fase III (moderada) y Fase IV (grave).</w:t>
      </w:r>
    </w:p>
    <w:p w14:paraId="0CD60938" w14:textId="77777777" w:rsidR="00D779F6" w:rsidRPr="00491102" w:rsidRDefault="00300AB1">
      <w:pPr>
        <w:shd w:val="clear" w:color="auto" w:fill="FFFFFF"/>
        <w:jc w:val="both"/>
        <w:rPr>
          <w:rFonts w:ascii="Arial" w:hAnsi="Arial" w:cs="Arial"/>
          <w:i/>
          <w:color w:val="000000"/>
        </w:rPr>
      </w:pPr>
      <w:r w:rsidRPr="00491102">
        <w:rPr>
          <w:rFonts w:ascii="Arial" w:eastAsia="Arial" w:hAnsi="Arial" w:cs="Arial"/>
          <w:b/>
          <w:i/>
          <w:color w:val="000000"/>
        </w:rPr>
        <w:t>2)</w:t>
      </w:r>
      <w:r w:rsidRPr="00491102">
        <w:rPr>
          <w:rFonts w:ascii="Arial" w:hAnsi="Arial" w:cs="Arial"/>
          <w:i/>
          <w:color w:val="000000"/>
        </w:rPr>
        <w:t> </w:t>
      </w:r>
      <w:r w:rsidRPr="00491102">
        <w:rPr>
          <w:rFonts w:ascii="Arial" w:eastAsia="Arial" w:hAnsi="Arial" w:cs="Arial"/>
          <w:b/>
          <w:i/>
          <w:color w:val="000000"/>
        </w:rPr>
        <w:t>Abordaje integral.</w:t>
      </w:r>
      <w:r w:rsidRPr="00491102">
        <w:rPr>
          <w:rFonts w:ascii="Arial" w:eastAsia="Arial" w:hAnsi="Arial" w:cs="Arial"/>
          <w:i/>
          <w:color w:val="000000"/>
        </w:rPr>
        <w:t> Es el conjunto de acciones de promoción, prevención, tecnologías, diagnóstico, exámenes, procedimientos, tratamientos, medicamentos, controles y seguimientos médicos con acceso oportuno, dentro de los tiempos establecidos por el médico tratante.</w:t>
      </w:r>
    </w:p>
    <w:p w14:paraId="0A2C5ACD" w14:textId="77777777" w:rsidR="00D779F6" w:rsidRPr="00491102" w:rsidRDefault="00300AB1">
      <w:pPr>
        <w:shd w:val="clear" w:color="auto" w:fill="FFFFFF"/>
        <w:jc w:val="both"/>
        <w:rPr>
          <w:rFonts w:ascii="Arial" w:eastAsia="Arial" w:hAnsi="Arial" w:cs="Arial"/>
          <w:i/>
          <w:color w:val="000000"/>
        </w:rPr>
      </w:pPr>
      <w:r w:rsidRPr="00491102">
        <w:rPr>
          <w:rFonts w:ascii="Arial" w:eastAsia="Arial" w:hAnsi="Arial" w:cs="Arial"/>
          <w:b/>
          <w:i/>
          <w:color w:val="000000"/>
        </w:rPr>
        <w:t>3)</w:t>
      </w:r>
      <w:r w:rsidRPr="00491102">
        <w:rPr>
          <w:rFonts w:ascii="Arial" w:hAnsi="Arial" w:cs="Arial"/>
          <w:i/>
          <w:color w:val="000000"/>
        </w:rPr>
        <w:t> </w:t>
      </w:r>
      <w:r w:rsidRPr="00491102">
        <w:rPr>
          <w:rFonts w:ascii="Arial" w:eastAsia="Arial" w:hAnsi="Arial" w:cs="Arial"/>
          <w:b/>
          <w:i/>
          <w:color w:val="000000"/>
        </w:rPr>
        <w:t>Atención prioritaria y continuada. </w:t>
      </w:r>
      <w:r w:rsidRPr="00491102">
        <w:rPr>
          <w:rFonts w:ascii="Arial" w:eastAsia="Arial" w:hAnsi="Arial" w:cs="Arial"/>
          <w:i/>
          <w:color w:val="000000"/>
        </w:rPr>
        <w:t>Es la prestación de todos los servicios médicos o no médicos, de manera prevalente, sin dilaciones, demoras o barreras de ningún tipo.</w:t>
      </w:r>
    </w:p>
    <w:p w14:paraId="62A41973" w14:textId="77777777" w:rsidR="00D779F6" w:rsidRPr="00491102" w:rsidRDefault="00300AB1">
      <w:pPr>
        <w:shd w:val="clear" w:color="auto" w:fill="FFFFFF"/>
        <w:jc w:val="both"/>
        <w:rPr>
          <w:rFonts w:ascii="Arial" w:hAnsi="Arial" w:cs="Arial"/>
          <w:i/>
          <w:color w:val="000000"/>
        </w:rPr>
      </w:pPr>
      <w:r w:rsidRPr="00491102">
        <w:rPr>
          <w:rFonts w:ascii="Arial" w:eastAsia="Arial" w:hAnsi="Arial" w:cs="Arial"/>
          <w:i/>
          <w:color w:val="000000"/>
        </w:rPr>
        <w:t>(…)</w:t>
      </w:r>
    </w:p>
    <w:p w14:paraId="4C714CB5" w14:textId="77777777" w:rsidR="00D779F6" w:rsidRPr="00491102" w:rsidRDefault="00300AB1">
      <w:pPr>
        <w:jc w:val="both"/>
        <w:rPr>
          <w:rFonts w:ascii="Arial" w:eastAsia="Arial" w:hAnsi="Arial" w:cs="Arial"/>
          <w:i/>
          <w:color w:val="000000"/>
          <w:highlight w:val="white"/>
        </w:rPr>
      </w:pPr>
      <w:r w:rsidRPr="00491102">
        <w:rPr>
          <w:rFonts w:ascii="Arial" w:eastAsia="Arial" w:hAnsi="Arial" w:cs="Arial"/>
          <w:color w:val="000000"/>
          <w:highlight w:val="white"/>
        </w:rPr>
        <w:t>“</w:t>
      </w:r>
      <w:r w:rsidRPr="00491102">
        <w:rPr>
          <w:rFonts w:ascii="Arial" w:eastAsia="Arial" w:hAnsi="Arial" w:cs="Arial"/>
          <w:b/>
          <w:i/>
          <w:color w:val="000000"/>
        </w:rPr>
        <w:t>Artículo</w:t>
      </w:r>
      <w:r w:rsidRPr="00491102">
        <w:rPr>
          <w:rFonts w:ascii="Arial" w:eastAsia="Arial" w:hAnsi="Arial" w:cs="Arial"/>
          <w:i/>
          <w:color w:val="000000"/>
          <w:highlight w:val="white"/>
        </w:rPr>
        <w:t xml:space="preserve">.4º De la política pública de abordaje integral de la endometriosis y reglamentación. El Ministerio de Salud y Protección Social en el término de un (1) año contado a partir de la presente ley, deberá formular, adoptar, dirigir, coordinar, ejecutar y evaluar la política pública para el abordaje integral de la endometriosis. </w:t>
      </w:r>
      <w:r w:rsidRPr="00491102">
        <w:rPr>
          <w:rFonts w:ascii="Arial" w:eastAsia="Arial" w:hAnsi="Arial" w:cs="Arial"/>
          <w:i/>
          <w:color w:val="000000"/>
          <w:highlight w:val="white"/>
          <w:u w:val="single"/>
        </w:rPr>
        <w:t>Todas las entidades públicas</w:t>
      </w:r>
      <w:r w:rsidRPr="00491102">
        <w:rPr>
          <w:rFonts w:ascii="Arial" w:eastAsia="Arial" w:hAnsi="Arial" w:cs="Arial"/>
          <w:i/>
          <w:color w:val="000000"/>
          <w:highlight w:val="white"/>
        </w:rPr>
        <w:t xml:space="preserve"> del orden nacional, departamental, municipal </w:t>
      </w:r>
      <w:r w:rsidRPr="00491102">
        <w:rPr>
          <w:rFonts w:ascii="Arial" w:eastAsia="Arial" w:hAnsi="Arial" w:cs="Arial"/>
          <w:i/>
          <w:color w:val="000000"/>
          <w:highlight w:val="white"/>
          <w:u w:val="single"/>
        </w:rPr>
        <w:t>y distrital</w:t>
      </w:r>
      <w:r w:rsidRPr="00491102">
        <w:rPr>
          <w:rFonts w:ascii="Arial" w:eastAsia="Arial" w:hAnsi="Arial" w:cs="Arial"/>
          <w:i/>
          <w:color w:val="000000"/>
          <w:highlight w:val="white"/>
        </w:rPr>
        <w:t xml:space="preserve">, así como las organizaciones no gubernamentales, asociaciones, grupos de pacientes, médicos, comunidad en general, así como las instituciones de salud públicas o privadas, </w:t>
      </w:r>
      <w:r w:rsidRPr="00491102">
        <w:rPr>
          <w:rFonts w:ascii="Arial" w:eastAsia="Arial" w:hAnsi="Arial" w:cs="Arial"/>
          <w:i/>
          <w:color w:val="000000"/>
          <w:highlight w:val="white"/>
          <w:u w:val="single"/>
        </w:rPr>
        <w:t>podrán participar de la elaboración de planes, programas y proyectos derivados de la presente ley, para promover la salud y el bienestar de las mujeres con endometriosis, a fin de prevenir mayores afectaciones a su salud y contribuir al tratamiento físico, mental y social de estas</w:t>
      </w:r>
      <w:r w:rsidRPr="00491102">
        <w:rPr>
          <w:rFonts w:ascii="Arial" w:eastAsia="Arial" w:hAnsi="Arial" w:cs="Arial"/>
          <w:i/>
          <w:color w:val="000000"/>
          <w:highlight w:val="white"/>
        </w:rPr>
        <w:t>, así como a la formulación de la política pública y su reglamentación por parte del Ministerio de Salud y Protección Social o quien haga sus veces, el cual establecerá los mecanismos efectivos y permanentes de participación.”</w:t>
      </w:r>
    </w:p>
    <w:p w14:paraId="3198A63A"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b/>
          <w:color w:val="000000"/>
        </w:rPr>
      </w:pPr>
    </w:p>
    <w:p w14:paraId="482DDD2E" w14:textId="77777777" w:rsidR="00D779F6" w:rsidRPr="00491102" w:rsidRDefault="00300AB1" w:rsidP="00491102">
      <w:pPr>
        <w:pStyle w:val="Prrafodelista"/>
        <w:widowControl w:val="0"/>
        <w:numPr>
          <w:ilvl w:val="0"/>
          <w:numId w:val="6"/>
        </w:numPr>
        <w:pBdr>
          <w:top w:val="nil"/>
          <w:left w:val="nil"/>
          <w:bottom w:val="nil"/>
          <w:right w:val="nil"/>
          <w:between w:val="nil"/>
        </w:pBdr>
        <w:spacing w:after="0" w:line="240" w:lineRule="auto"/>
        <w:rPr>
          <w:rFonts w:ascii="Arial" w:eastAsia="Arial" w:hAnsi="Arial" w:cs="Arial"/>
          <w:b/>
          <w:color w:val="000000"/>
        </w:rPr>
      </w:pPr>
      <w:r w:rsidRPr="00491102">
        <w:rPr>
          <w:rFonts w:ascii="Arial" w:eastAsia="Arial" w:hAnsi="Arial" w:cs="Arial"/>
          <w:b/>
          <w:color w:val="000000"/>
        </w:rPr>
        <w:t>JUSTIFICACIÓN DEL PROYECTO Y ANÁLISIS DE LA INICIATIVA</w:t>
      </w:r>
    </w:p>
    <w:p w14:paraId="228B0CF2" w14:textId="77777777" w:rsidR="00D779F6" w:rsidRPr="00491102" w:rsidRDefault="00D779F6">
      <w:pPr>
        <w:widowControl w:val="0"/>
        <w:pBdr>
          <w:top w:val="nil"/>
          <w:left w:val="nil"/>
          <w:bottom w:val="nil"/>
          <w:right w:val="nil"/>
          <w:between w:val="nil"/>
        </w:pBdr>
        <w:spacing w:after="0" w:line="240" w:lineRule="auto"/>
        <w:rPr>
          <w:rFonts w:ascii="Arial" w:eastAsia="Arial" w:hAnsi="Arial" w:cs="Arial"/>
          <w:b/>
          <w:color w:val="000000"/>
        </w:rPr>
      </w:pPr>
    </w:p>
    <w:p w14:paraId="4B7C7495" w14:textId="77777777" w:rsidR="00D779F6" w:rsidRPr="00491102" w:rsidRDefault="00FB4439">
      <w:pPr>
        <w:jc w:val="both"/>
        <w:rPr>
          <w:rFonts w:ascii="Arial" w:eastAsia="Arial" w:hAnsi="Arial" w:cs="Arial"/>
        </w:rPr>
      </w:pPr>
      <w:r w:rsidRPr="00491102">
        <w:rPr>
          <w:rFonts w:ascii="Arial" w:eastAsia="Arial" w:hAnsi="Arial" w:cs="Arial"/>
        </w:rPr>
        <w:t xml:space="preserve">Según </w:t>
      </w:r>
      <w:r w:rsidR="00300AB1" w:rsidRPr="00491102">
        <w:rPr>
          <w:rFonts w:ascii="Arial" w:eastAsia="Arial" w:hAnsi="Arial" w:cs="Arial"/>
        </w:rPr>
        <w:t>la O</w:t>
      </w:r>
      <w:r w:rsidRPr="00491102">
        <w:rPr>
          <w:rFonts w:ascii="Arial" w:eastAsia="Arial" w:hAnsi="Arial" w:cs="Arial"/>
        </w:rPr>
        <w:t xml:space="preserve">rganización Mundial de la Salud-OMS, </w:t>
      </w:r>
      <w:r w:rsidR="00300AB1" w:rsidRPr="00491102">
        <w:rPr>
          <w:rFonts w:ascii="Arial" w:eastAsia="Arial" w:hAnsi="Arial" w:cs="Arial"/>
        </w:rPr>
        <w:t xml:space="preserve">el acceso a la salud y el bienestar es un derecho humano, razón </w:t>
      </w:r>
      <w:r w:rsidR="006D67E5" w:rsidRPr="00491102">
        <w:rPr>
          <w:rFonts w:ascii="Arial" w:eastAsia="Arial" w:hAnsi="Arial" w:cs="Arial"/>
        </w:rPr>
        <w:t>está</w:t>
      </w:r>
      <w:r w:rsidR="00300AB1" w:rsidRPr="00491102">
        <w:rPr>
          <w:rFonts w:ascii="Arial" w:eastAsia="Arial" w:hAnsi="Arial" w:cs="Arial"/>
        </w:rPr>
        <w:t xml:space="preserve"> por la que se ofreció la oportunidad de garantizar que todas las personas (no solo las que cuentan con poder adquisitivo) tengan acceso a los niveles altos de salud y asistencia sanitaria, por esta razón en los Objetivos de Desarrollo Sostenible</w:t>
      </w:r>
      <w:r w:rsidR="006D67E5" w:rsidRPr="00491102">
        <w:rPr>
          <w:rFonts w:ascii="Arial" w:eastAsia="Arial" w:hAnsi="Arial" w:cs="Arial"/>
        </w:rPr>
        <w:t>,</w:t>
      </w:r>
      <w:r w:rsidR="00300AB1" w:rsidRPr="00491102">
        <w:rPr>
          <w:rFonts w:ascii="Arial" w:eastAsia="Arial" w:hAnsi="Arial" w:cs="Arial"/>
        </w:rPr>
        <w:t xml:space="preserve"> la OMS busca</w:t>
      </w:r>
      <w:r w:rsidRPr="00491102">
        <w:rPr>
          <w:rFonts w:ascii="Arial" w:eastAsia="Arial" w:hAnsi="Arial" w:cs="Arial"/>
        </w:rPr>
        <w:t>n</w:t>
      </w:r>
      <w:r w:rsidR="00300AB1" w:rsidRPr="00491102">
        <w:rPr>
          <w:rFonts w:ascii="Arial" w:eastAsia="Arial" w:hAnsi="Arial" w:cs="Arial"/>
        </w:rPr>
        <w:t xml:space="preserve"> establecer garantías para una vida sana lo que exige un compromiso de todos.</w:t>
      </w:r>
    </w:p>
    <w:p w14:paraId="00915BB6" w14:textId="77777777" w:rsidR="00D779F6" w:rsidRPr="00491102" w:rsidRDefault="00D779F6" w:rsidP="00491102">
      <w:pPr>
        <w:pStyle w:val="Sinespaciado"/>
        <w:rPr>
          <w:rFonts w:eastAsia="Arial"/>
          <w:sz w:val="22"/>
          <w:szCs w:val="22"/>
        </w:rPr>
      </w:pPr>
    </w:p>
    <w:p w14:paraId="637817F4" w14:textId="77777777" w:rsidR="00D779F6" w:rsidRPr="00491102" w:rsidRDefault="00300AB1">
      <w:pPr>
        <w:jc w:val="both"/>
        <w:rPr>
          <w:rFonts w:ascii="Arial" w:eastAsia="Arial" w:hAnsi="Arial" w:cs="Arial"/>
        </w:rPr>
      </w:pPr>
      <w:r w:rsidRPr="00491102">
        <w:rPr>
          <w:rFonts w:ascii="Arial" w:eastAsia="Arial" w:hAnsi="Arial" w:cs="Arial"/>
        </w:rPr>
        <w:t xml:space="preserve">El objetivo del enfoque base en los derechos humanos busca que todas las políticas, estrategias y programas se formulen con el fin de mejorar de manera progresiva y se de </w:t>
      </w:r>
      <w:r w:rsidR="00FB4439" w:rsidRPr="00491102">
        <w:rPr>
          <w:rFonts w:ascii="Arial" w:eastAsia="Arial" w:hAnsi="Arial" w:cs="Arial"/>
        </w:rPr>
        <w:t xml:space="preserve">aplicación a los principios de, </w:t>
      </w:r>
      <w:r w:rsidR="006D67E5" w:rsidRPr="00491102">
        <w:rPr>
          <w:rFonts w:ascii="Arial" w:eastAsia="Arial" w:hAnsi="Arial" w:cs="Arial"/>
        </w:rPr>
        <w:t>No discriminación</w:t>
      </w:r>
      <w:r w:rsidR="00FB4439" w:rsidRPr="00491102">
        <w:rPr>
          <w:rFonts w:ascii="Arial" w:eastAsia="Arial" w:hAnsi="Arial" w:cs="Arial"/>
        </w:rPr>
        <w:t>, disponibilidad, a</w:t>
      </w:r>
      <w:r w:rsidR="006D67E5" w:rsidRPr="00491102">
        <w:rPr>
          <w:rFonts w:ascii="Arial" w:eastAsia="Arial" w:hAnsi="Arial" w:cs="Arial"/>
        </w:rPr>
        <w:t>ccesibilidad</w:t>
      </w:r>
      <w:r w:rsidR="00FB4439" w:rsidRPr="00491102">
        <w:rPr>
          <w:rFonts w:ascii="Arial" w:eastAsia="Arial" w:hAnsi="Arial" w:cs="Arial"/>
        </w:rPr>
        <w:t>, a</w:t>
      </w:r>
      <w:r w:rsidRPr="00491102">
        <w:rPr>
          <w:rFonts w:ascii="Arial" w:eastAsia="Arial" w:hAnsi="Arial" w:cs="Arial"/>
        </w:rPr>
        <w:t>ceptabili</w:t>
      </w:r>
      <w:r w:rsidR="006D67E5" w:rsidRPr="00491102">
        <w:rPr>
          <w:rFonts w:ascii="Arial" w:eastAsia="Arial" w:hAnsi="Arial" w:cs="Arial"/>
        </w:rPr>
        <w:t>dad</w:t>
      </w:r>
      <w:r w:rsidR="00FB4439" w:rsidRPr="00491102">
        <w:rPr>
          <w:rFonts w:ascii="Arial" w:eastAsia="Arial" w:hAnsi="Arial" w:cs="Arial"/>
        </w:rPr>
        <w:t>, calidad, r</w:t>
      </w:r>
      <w:r w:rsidR="006D67E5" w:rsidRPr="00491102">
        <w:rPr>
          <w:rFonts w:ascii="Arial" w:eastAsia="Arial" w:hAnsi="Arial" w:cs="Arial"/>
        </w:rPr>
        <w:t>endición de cuentas</w:t>
      </w:r>
      <w:r w:rsidR="00FB4439" w:rsidRPr="00491102">
        <w:rPr>
          <w:rFonts w:ascii="Arial" w:eastAsia="Arial" w:hAnsi="Arial" w:cs="Arial"/>
        </w:rPr>
        <w:t xml:space="preserve"> y u</w:t>
      </w:r>
      <w:r w:rsidRPr="00491102">
        <w:rPr>
          <w:rFonts w:ascii="Arial" w:eastAsia="Arial" w:hAnsi="Arial" w:cs="Arial"/>
        </w:rPr>
        <w:t>niversalidad.</w:t>
      </w:r>
    </w:p>
    <w:p w14:paraId="113BC662" w14:textId="77777777" w:rsidR="00FB4439" w:rsidRPr="00491102" w:rsidRDefault="00FB4439" w:rsidP="00491102">
      <w:pPr>
        <w:pStyle w:val="Sinespaciado"/>
        <w:rPr>
          <w:rFonts w:eastAsia="Arial"/>
          <w:sz w:val="22"/>
          <w:szCs w:val="22"/>
        </w:rPr>
      </w:pPr>
    </w:p>
    <w:p w14:paraId="3D365B45" w14:textId="77777777" w:rsidR="00FB4439" w:rsidRPr="00491102" w:rsidRDefault="00300AB1">
      <w:pPr>
        <w:jc w:val="both"/>
        <w:rPr>
          <w:rFonts w:ascii="Arial" w:eastAsia="Arial" w:hAnsi="Arial" w:cs="Arial"/>
        </w:rPr>
      </w:pPr>
      <w:r w:rsidRPr="00491102">
        <w:rPr>
          <w:rFonts w:ascii="Arial" w:eastAsia="Arial" w:hAnsi="Arial" w:cs="Arial"/>
        </w:rPr>
        <w:t xml:space="preserve">Ahora </w:t>
      </w:r>
      <w:r w:rsidR="006D67E5" w:rsidRPr="00491102">
        <w:rPr>
          <w:rFonts w:ascii="Arial" w:eastAsia="Arial" w:hAnsi="Arial" w:cs="Arial"/>
        </w:rPr>
        <w:t>bien,</w:t>
      </w:r>
      <w:r w:rsidRPr="00491102">
        <w:rPr>
          <w:rFonts w:ascii="Arial" w:eastAsia="Arial" w:hAnsi="Arial" w:cs="Arial"/>
        </w:rPr>
        <w:t xml:space="preserve"> para lo que nos ocupa, la Organización Mundial de Salud, considera </w:t>
      </w:r>
      <w:r w:rsidRPr="00491102">
        <w:rPr>
          <w:rFonts w:ascii="Arial" w:eastAsia="Arial" w:hAnsi="Arial" w:cs="Arial"/>
          <w:b/>
        </w:rPr>
        <w:t>la endometriosis</w:t>
      </w:r>
      <w:r w:rsidRPr="00491102">
        <w:rPr>
          <w:rFonts w:ascii="Arial" w:eastAsia="Arial" w:hAnsi="Arial" w:cs="Arial"/>
        </w:rPr>
        <w:t xml:space="preserve"> como una enfermedad en la que, en la parte exterior del útero, crece un tejido similar a la mucosa interior del útero que puede causar un dolor intenso en la pelvis y dificultar que se consiga un embarazo, puede aparecer a partir de la primera menstruación y hasta la menopausia.</w:t>
      </w:r>
    </w:p>
    <w:p w14:paraId="69582C59" w14:textId="77777777" w:rsidR="006D67E5" w:rsidRPr="00491102" w:rsidRDefault="00300AB1">
      <w:pPr>
        <w:spacing w:before="240" w:after="240"/>
        <w:jc w:val="both"/>
        <w:rPr>
          <w:rFonts w:ascii="Arial" w:eastAsia="Arial" w:hAnsi="Arial" w:cs="Arial"/>
        </w:rPr>
      </w:pPr>
      <w:r w:rsidRPr="00491102">
        <w:rPr>
          <w:rFonts w:ascii="Arial" w:eastAsia="Arial" w:hAnsi="Arial" w:cs="Arial"/>
        </w:rPr>
        <w:t>Al formarse en la parte externa del útero un tejido similar a la mucosa interior, se provoca una inflamación y la aparición de tejido cic</w:t>
      </w:r>
      <w:r w:rsidR="006D67E5" w:rsidRPr="00491102">
        <w:rPr>
          <w:rFonts w:ascii="Arial" w:eastAsia="Arial" w:hAnsi="Arial" w:cs="Arial"/>
        </w:rPr>
        <w:t>atricial en la pelvis y</w:t>
      </w:r>
      <w:r w:rsidRPr="00491102">
        <w:rPr>
          <w:rFonts w:ascii="Arial" w:eastAsia="Arial" w:hAnsi="Arial" w:cs="Arial"/>
        </w:rPr>
        <w:t xml:space="preserve"> raramente, en otras partes del cuerpo.</w:t>
      </w:r>
    </w:p>
    <w:p w14:paraId="76AA3AB4" w14:textId="77777777" w:rsidR="006D67E5" w:rsidRPr="00491102" w:rsidRDefault="00300AB1">
      <w:pPr>
        <w:jc w:val="both"/>
        <w:rPr>
          <w:rFonts w:ascii="Arial" w:eastAsia="Arial" w:hAnsi="Arial" w:cs="Arial"/>
        </w:rPr>
      </w:pPr>
      <w:r w:rsidRPr="00491102">
        <w:rPr>
          <w:rFonts w:ascii="Arial" w:eastAsia="Arial" w:hAnsi="Arial" w:cs="Arial"/>
        </w:rPr>
        <w:t xml:space="preserve">No se </w:t>
      </w:r>
      <w:r w:rsidR="00FB4439" w:rsidRPr="00491102">
        <w:rPr>
          <w:rFonts w:ascii="Arial" w:eastAsia="Arial" w:hAnsi="Arial" w:cs="Arial"/>
        </w:rPr>
        <w:t>conoce</w:t>
      </w:r>
      <w:r w:rsidRPr="00491102">
        <w:rPr>
          <w:rFonts w:ascii="Arial" w:eastAsia="Arial" w:hAnsi="Arial" w:cs="Arial"/>
        </w:rPr>
        <w:t xml:space="preserve"> cuáles son las causas de la endometriosis ni cómo prevenirl</w:t>
      </w:r>
      <w:r w:rsidR="006D67E5" w:rsidRPr="00491102">
        <w:rPr>
          <w:rFonts w:ascii="Arial" w:eastAsia="Arial" w:hAnsi="Arial" w:cs="Arial"/>
        </w:rPr>
        <w:t>a; tampoco se tiene precisión de</w:t>
      </w:r>
      <w:r w:rsidRPr="00491102">
        <w:rPr>
          <w:rFonts w:ascii="Arial" w:eastAsia="Arial" w:hAnsi="Arial" w:cs="Arial"/>
        </w:rPr>
        <w:t xml:space="preserve"> un tratamiento que la cure, lo que sí hay es algunos medicamentos que alivian los síntomas y en algunos casos se hace necesario realizar una intervención quirúrgica.</w:t>
      </w:r>
    </w:p>
    <w:p w14:paraId="7B9B0C90" w14:textId="77777777" w:rsidR="00D779F6" w:rsidRPr="00491102" w:rsidRDefault="00FB4439">
      <w:pPr>
        <w:jc w:val="both"/>
        <w:rPr>
          <w:rFonts w:ascii="Arial" w:eastAsia="Arial" w:hAnsi="Arial" w:cs="Arial"/>
        </w:rPr>
      </w:pPr>
      <w:r w:rsidRPr="00491102">
        <w:rPr>
          <w:rFonts w:ascii="Arial" w:eastAsia="Arial" w:hAnsi="Arial" w:cs="Arial"/>
        </w:rPr>
        <w:t>Dentro de lo que se conoce hasta ahora, se tiene que p</w:t>
      </w:r>
      <w:r w:rsidR="00300AB1" w:rsidRPr="00491102">
        <w:rPr>
          <w:rFonts w:ascii="Arial" w:eastAsia="Arial" w:hAnsi="Arial" w:cs="Arial"/>
        </w:rPr>
        <w:t>uede provocar una reacción inflamatoria crónica que puede dar lugar a la formación de tejido cicatricial (adherencias, fibrosis) dentro de la pelvis y en otras partes del cuerpo. Se han descrito varios tipos de lesiones</w:t>
      </w:r>
      <w:r w:rsidR="006D67E5" w:rsidRPr="00491102">
        <w:rPr>
          <w:rStyle w:val="Refdenotaalpie"/>
          <w:rFonts w:ascii="Arial" w:eastAsia="Arial" w:hAnsi="Arial" w:cs="Arial"/>
        </w:rPr>
        <w:footnoteReference w:id="1"/>
      </w:r>
      <w:r w:rsidR="00EB5EDE" w:rsidRPr="00491102">
        <w:rPr>
          <w:rFonts w:ascii="Arial" w:eastAsia="Arial" w:hAnsi="Arial" w:cs="Arial"/>
        </w:rPr>
        <w:t xml:space="preserve"> como lo son</w:t>
      </w:r>
      <w:r w:rsidR="006D67E5" w:rsidRPr="00491102">
        <w:rPr>
          <w:rFonts w:ascii="Arial" w:eastAsia="Arial" w:hAnsi="Arial" w:cs="Arial"/>
        </w:rPr>
        <w:t>:</w:t>
      </w:r>
    </w:p>
    <w:p w14:paraId="063DF637" w14:textId="77777777" w:rsidR="00D779F6" w:rsidRPr="00491102" w:rsidRDefault="006D67E5" w:rsidP="00491102">
      <w:pPr>
        <w:pStyle w:val="Prrafodelista"/>
        <w:numPr>
          <w:ilvl w:val="0"/>
          <w:numId w:val="8"/>
        </w:numPr>
        <w:spacing w:before="240" w:after="240"/>
        <w:jc w:val="both"/>
        <w:rPr>
          <w:rFonts w:ascii="Arial" w:eastAsia="Arial" w:hAnsi="Arial" w:cs="Arial"/>
        </w:rPr>
      </w:pPr>
      <w:r w:rsidRPr="00491102">
        <w:rPr>
          <w:rFonts w:ascii="Arial" w:eastAsia="Arial" w:hAnsi="Arial" w:cs="Arial"/>
        </w:rPr>
        <w:t>E</w:t>
      </w:r>
      <w:r w:rsidR="00EB5EDE" w:rsidRPr="00491102">
        <w:rPr>
          <w:rFonts w:ascii="Arial" w:eastAsia="Arial" w:hAnsi="Arial" w:cs="Arial"/>
        </w:rPr>
        <w:t>ndometriosis superficial:</w:t>
      </w:r>
      <w:r w:rsidR="00300AB1" w:rsidRPr="00491102">
        <w:rPr>
          <w:rFonts w:ascii="Arial" w:eastAsia="Arial" w:hAnsi="Arial" w:cs="Arial"/>
        </w:rPr>
        <w:t xml:space="preserve"> cuando las lesiones se presentan princip</w:t>
      </w:r>
      <w:r w:rsidR="00EB5EDE" w:rsidRPr="00491102">
        <w:rPr>
          <w:rFonts w:ascii="Arial" w:eastAsia="Arial" w:hAnsi="Arial" w:cs="Arial"/>
        </w:rPr>
        <w:t>almente en el peritoneo pélvico</w:t>
      </w:r>
    </w:p>
    <w:p w14:paraId="121B3FE0" w14:textId="77777777" w:rsidR="00491102" w:rsidRPr="00491102" w:rsidRDefault="00491102" w:rsidP="00491102">
      <w:pPr>
        <w:pStyle w:val="Prrafodelista"/>
        <w:spacing w:before="240" w:after="240"/>
        <w:jc w:val="both"/>
        <w:rPr>
          <w:rFonts w:ascii="Arial" w:eastAsia="Arial" w:hAnsi="Arial" w:cs="Arial"/>
        </w:rPr>
      </w:pPr>
    </w:p>
    <w:p w14:paraId="3A6E2814" w14:textId="77777777" w:rsidR="00491102" w:rsidRPr="00491102" w:rsidRDefault="006D67E5" w:rsidP="00491102">
      <w:pPr>
        <w:pStyle w:val="Prrafodelista"/>
        <w:numPr>
          <w:ilvl w:val="0"/>
          <w:numId w:val="8"/>
        </w:numPr>
        <w:spacing w:before="240" w:after="240"/>
        <w:jc w:val="both"/>
        <w:rPr>
          <w:rFonts w:ascii="Arial" w:eastAsia="Arial" w:hAnsi="Arial" w:cs="Arial"/>
        </w:rPr>
      </w:pPr>
      <w:r w:rsidRPr="00491102">
        <w:rPr>
          <w:rFonts w:ascii="Arial" w:eastAsia="Arial" w:hAnsi="Arial" w:cs="Arial"/>
        </w:rPr>
        <w:t>E</w:t>
      </w:r>
      <w:r w:rsidR="00300AB1" w:rsidRPr="00491102">
        <w:rPr>
          <w:rFonts w:ascii="Arial" w:eastAsia="Arial" w:hAnsi="Arial" w:cs="Arial"/>
        </w:rPr>
        <w:t>ndometriosis quística de ovario (endome</w:t>
      </w:r>
      <w:r w:rsidR="00EB5EDE" w:rsidRPr="00491102">
        <w:rPr>
          <w:rFonts w:ascii="Arial" w:eastAsia="Arial" w:hAnsi="Arial" w:cs="Arial"/>
        </w:rPr>
        <w:t>trioma), ubicada en los ovarios</w:t>
      </w:r>
    </w:p>
    <w:p w14:paraId="2F04477B" w14:textId="77777777" w:rsidR="00491102" w:rsidRPr="00491102" w:rsidRDefault="00491102" w:rsidP="00491102">
      <w:pPr>
        <w:pStyle w:val="Prrafodelista"/>
        <w:rPr>
          <w:rFonts w:ascii="Arial" w:eastAsia="Arial" w:hAnsi="Arial" w:cs="Arial"/>
        </w:rPr>
      </w:pPr>
    </w:p>
    <w:p w14:paraId="523706B6" w14:textId="77777777" w:rsidR="00D779F6" w:rsidRPr="00491102" w:rsidRDefault="006D67E5" w:rsidP="00491102">
      <w:pPr>
        <w:pStyle w:val="Prrafodelista"/>
        <w:numPr>
          <w:ilvl w:val="0"/>
          <w:numId w:val="8"/>
        </w:numPr>
        <w:spacing w:before="240" w:after="240"/>
        <w:jc w:val="both"/>
        <w:rPr>
          <w:rFonts w:ascii="Arial" w:eastAsia="Arial" w:hAnsi="Arial" w:cs="Arial"/>
        </w:rPr>
      </w:pPr>
      <w:r w:rsidRPr="00491102">
        <w:rPr>
          <w:rFonts w:ascii="Arial" w:eastAsia="Arial" w:hAnsi="Arial" w:cs="Arial"/>
        </w:rPr>
        <w:t>E</w:t>
      </w:r>
      <w:r w:rsidR="00300AB1" w:rsidRPr="00491102">
        <w:rPr>
          <w:rFonts w:ascii="Arial" w:eastAsia="Arial" w:hAnsi="Arial" w:cs="Arial"/>
        </w:rPr>
        <w:t>ndometriosis profunda, ubicada en el tabique rectova</w:t>
      </w:r>
      <w:r w:rsidR="00491102" w:rsidRPr="00491102">
        <w:rPr>
          <w:rFonts w:ascii="Arial" w:eastAsia="Arial" w:hAnsi="Arial" w:cs="Arial"/>
        </w:rPr>
        <w:t xml:space="preserve">ginal, la vejiga y el </w:t>
      </w:r>
      <w:r w:rsidR="00EB5EDE" w:rsidRPr="00491102">
        <w:rPr>
          <w:rFonts w:ascii="Arial" w:eastAsia="Arial" w:hAnsi="Arial" w:cs="Arial"/>
        </w:rPr>
        <w:t>intestino</w:t>
      </w:r>
    </w:p>
    <w:p w14:paraId="24094378" w14:textId="77777777" w:rsidR="00D779F6" w:rsidRPr="00491102" w:rsidRDefault="006D67E5" w:rsidP="00EB5EDE">
      <w:pPr>
        <w:spacing w:before="240" w:after="240"/>
        <w:jc w:val="both"/>
        <w:rPr>
          <w:rFonts w:ascii="Arial" w:eastAsia="Arial" w:hAnsi="Arial" w:cs="Arial"/>
        </w:rPr>
      </w:pPr>
      <w:r w:rsidRPr="00491102">
        <w:rPr>
          <w:rFonts w:ascii="Arial" w:eastAsia="Arial" w:hAnsi="Arial" w:cs="Arial"/>
        </w:rPr>
        <w:t>E</w:t>
      </w:r>
      <w:r w:rsidR="00300AB1" w:rsidRPr="00491102">
        <w:rPr>
          <w:rFonts w:ascii="Arial" w:eastAsia="Arial" w:hAnsi="Arial" w:cs="Arial"/>
        </w:rPr>
        <w:t>n casos muy poco frecuentes, también se han hallado lesiones de endometriosis fuera de la pelvis.</w:t>
      </w:r>
    </w:p>
    <w:p w14:paraId="126E13C9" w14:textId="77777777" w:rsidR="00D779F6" w:rsidRPr="00491102" w:rsidRDefault="00300AB1">
      <w:pPr>
        <w:spacing w:before="240" w:after="240"/>
        <w:jc w:val="both"/>
        <w:rPr>
          <w:rFonts w:ascii="Arial" w:eastAsia="Arial" w:hAnsi="Arial" w:cs="Arial"/>
        </w:rPr>
      </w:pPr>
      <w:r w:rsidRPr="00491102">
        <w:rPr>
          <w:rFonts w:ascii="Arial" w:eastAsia="Arial" w:hAnsi="Arial" w:cs="Arial"/>
        </w:rPr>
        <w:t>En la actualidad, se considera que se presenta como consecuencia de alguno de los factores siguientes</w:t>
      </w:r>
      <w:r w:rsidR="00EB5EDE" w:rsidRPr="00491102">
        <w:rPr>
          <w:rStyle w:val="Refdenotaalpie"/>
          <w:rFonts w:ascii="Arial" w:eastAsia="Arial" w:hAnsi="Arial" w:cs="Arial"/>
        </w:rPr>
        <w:footnoteReference w:id="2"/>
      </w:r>
      <w:r w:rsidR="00EB5EDE" w:rsidRPr="00491102">
        <w:rPr>
          <w:rFonts w:ascii="Arial" w:eastAsia="Arial" w:hAnsi="Arial" w:cs="Arial"/>
        </w:rPr>
        <w:t>:</w:t>
      </w:r>
    </w:p>
    <w:p w14:paraId="23F9BA8C" w14:textId="77777777" w:rsidR="00D779F6" w:rsidRDefault="00300AB1">
      <w:pPr>
        <w:numPr>
          <w:ilvl w:val="0"/>
          <w:numId w:val="1"/>
        </w:numPr>
        <w:spacing w:after="0"/>
        <w:jc w:val="both"/>
        <w:rPr>
          <w:rFonts w:ascii="Arial" w:eastAsia="Arial" w:hAnsi="Arial" w:cs="Arial"/>
        </w:rPr>
      </w:pPr>
      <w:r w:rsidRPr="00491102">
        <w:rPr>
          <w:rFonts w:ascii="Arial" w:eastAsia="Arial" w:hAnsi="Arial" w:cs="Arial"/>
        </w:rPr>
        <w:t>Menstruación retrógrada: durante la menstruación, la sangre menstrual (que contiene células endometriales) fluye hacia atrás a través de las trompas de Falopio hasta alcanzar la cavidad pélvica</w:t>
      </w:r>
      <w:r w:rsidRPr="00491102">
        <w:rPr>
          <w:rFonts w:ascii="Arial" w:eastAsia="Times New Roman" w:hAnsi="Arial" w:cs="Arial"/>
        </w:rPr>
        <w:t xml:space="preserve"> </w:t>
      </w:r>
      <w:r w:rsidRPr="00491102">
        <w:rPr>
          <w:rFonts w:ascii="Arial" w:eastAsia="Arial" w:hAnsi="Arial" w:cs="Arial"/>
        </w:rPr>
        <w:t>en lugar de salir del cuerpo a través del cuello uterino y la vagina. De ese modo, pueden depositarse células similares a las del endometrio fuera del útero, donde pueden implantarse y crecer.</w:t>
      </w:r>
    </w:p>
    <w:p w14:paraId="3E764D00" w14:textId="77777777" w:rsidR="00A12BE0" w:rsidRPr="00491102" w:rsidRDefault="00A12BE0" w:rsidP="00A12BE0">
      <w:pPr>
        <w:spacing w:after="0"/>
        <w:ind w:left="720"/>
        <w:jc w:val="both"/>
        <w:rPr>
          <w:rFonts w:ascii="Arial" w:eastAsia="Arial" w:hAnsi="Arial" w:cs="Arial"/>
        </w:rPr>
      </w:pPr>
    </w:p>
    <w:p w14:paraId="5B74BF0E" w14:textId="77777777" w:rsidR="00D779F6" w:rsidRPr="00491102" w:rsidRDefault="00300AB1">
      <w:pPr>
        <w:numPr>
          <w:ilvl w:val="0"/>
          <w:numId w:val="1"/>
        </w:numPr>
        <w:spacing w:after="0"/>
        <w:jc w:val="both"/>
        <w:rPr>
          <w:rFonts w:ascii="Arial" w:eastAsia="Arial" w:hAnsi="Arial" w:cs="Arial"/>
        </w:rPr>
      </w:pPr>
      <w:r w:rsidRPr="00491102">
        <w:rPr>
          <w:rFonts w:ascii="Arial" w:eastAsia="Arial" w:hAnsi="Arial" w:cs="Arial"/>
        </w:rPr>
        <w:t>Metaplasia celular: es un proceso en el que las células adoptan una forma distinta. Algunas células situadas fuera del útero se transforman en células similares al endometrio y comienzan a crecer.</w:t>
      </w:r>
    </w:p>
    <w:p w14:paraId="28D275EC" w14:textId="77777777" w:rsidR="00491102" w:rsidRPr="00491102" w:rsidRDefault="00491102" w:rsidP="00491102">
      <w:pPr>
        <w:spacing w:after="0"/>
        <w:ind w:left="720"/>
        <w:jc w:val="both"/>
        <w:rPr>
          <w:rFonts w:ascii="Arial" w:eastAsia="Arial" w:hAnsi="Arial" w:cs="Arial"/>
        </w:rPr>
      </w:pPr>
    </w:p>
    <w:p w14:paraId="2D029F8D" w14:textId="77777777" w:rsidR="00D779F6" w:rsidRPr="00491102" w:rsidRDefault="00300AB1" w:rsidP="00EB5EDE">
      <w:pPr>
        <w:numPr>
          <w:ilvl w:val="0"/>
          <w:numId w:val="1"/>
        </w:numPr>
        <w:spacing w:after="240"/>
        <w:jc w:val="both"/>
        <w:rPr>
          <w:rFonts w:ascii="Arial" w:eastAsia="Arial" w:hAnsi="Arial" w:cs="Arial"/>
        </w:rPr>
      </w:pPr>
      <w:r w:rsidRPr="00491102">
        <w:rPr>
          <w:rFonts w:ascii="Arial" w:eastAsia="Arial" w:hAnsi="Arial" w:cs="Arial"/>
        </w:rPr>
        <w:t>Proliferación de células precursoras: estas células pueden dar lugar a la enfermedad, que luego se propaga por el organismo a través de l</w:t>
      </w:r>
      <w:r w:rsidR="00EB5EDE" w:rsidRPr="00491102">
        <w:rPr>
          <w:rFonts w:ascii="Arial" w:eastAsia="Arial" w:hAnsi="Arial" w:cs="Arial"/>
        </w:rPr>
        <w:t>a sangre y los vasos linfáticos</w:t>
      </w:r>
    </w:p>
    <w:p w14:paraId="58AF9C45" w14:textId="77777777" w:rsidR="00D779F6" w:rsidRPr="00491102" w:rsidRDefault="00A41F58" w:rsidP="008A6B41">
      <w:pPr>
        <w:spacing w:after="0"/>
        <w:jc w:val="both"/>
        <w:rPr>
          <w:rFonts w:ascii="Arial" w:eastAsia="Arial" w:hAnsi="Arial" w:cs="Arial"/>
          <w:color w:val="000000"/>
        </w:rPr>
      </w:pPr>
      <w:r w:rsidRPr="00491102">
        <w:rPr>
          <w:rFonts w:ascii="Arial" w:eastAsia="Arial" w:hAnsi="Arial" w:cs="Arial"/>
        </w:rPr>
        <w:t>Teniendo en cuenta lo que es la</w:t>
      </w:r>
      <w:r w:rsidR="00EB5EDE" w:rsidRPr="00491102">
        <w:rPr>
          <w:rFonts w:ascii="Arial" w:eastAsia="Arial" w:hAnsi="Arial" w:cs="Arial"/>
        </w:rPr>
        <w:t xml:space="preserve"> endometriosis </w:t>
      </w:r>
      <w:r w:rsidRPr="00491102">
        <w:rPr>
          <w:rFonts w:ascii="Arial" w:eastAsia="Arial" w:hAnsi="Arial" w:cs="Arial"/>
        </w:rPr>
        <w:t xml:space="preserve">y que </w:t>
      </w:r>
      <w:r w:rsidR="00300AB1" w:rsidRPr="00491102">
        <w:rPr>
          <w:rFonts w:ascii="Arial" w:eastAsia="Arial" w:hAnsi="Arial" w:cs="Arial"/>
          <w:color w:val="000000"/>
          <w:highlight w:val="white"/>
        </w:rPr>
        <w:t>viene crecie</w:t>
      </w:r>
      <w:r w:rsidR="00EB5EDE" w:rsidRPr="00491102">
        <w:rPr>
          <w:rFonts w:ascii="Arial" w:eastAsia="Arial" w:hAnsi="Arial" w:cs="Arial"/>
          <w:color w:val="000000"/>
          <w:highlight w:val="white"/>
        </w:rPr>
        <w:t>ndo aceleradamente en el mundo</w:t>
      </w:r>
      <w:r w:rsidRPr="00491102">
        <w:rPr>
          <w:rFonts w:ascii="Arial" w:eastAsia="Arial" w:hAnsi="Arial" w:cs="Arial"/>
          <w:color w:val="000000"/>
          <w:highlight w:val="white"/>
        </w:rPr>
        <w:t>,</w:t>
      </w:r>
      <w:r w:rsidR="00EB5EDE" w:rsidRPr="00491102">
        <w:rPr>
          <w:rFonts w:ascii="Arial" w:eastAsia="Arial" w:hAnsi="Arial" w:cs="Arial"/>
          <w:color w:val="000000"/>
          <w:highlight w:val="white"/>
        </w:rPr>
        <w:t xml:space="preserve"> se hace </w:t>
      </w:r>
      <w:r w:rsidR="00300AB1" w:rsidRPr="00491102">
        <w:rPr>
          <w:rFonts w:ascii="Arial" w:eastAsia="Arial" w:hAnsi="Arial" w:cs="Arial"/>
          <w:color w:val="000000"/>
          <w:highlight w:val="white"/>
        </w:rPr>
        <w:t>necesario tomar medidas en el país para alertar y generar mecanismos de control, educación, prevención y atención a las mujeres que la padecen o que potencialmente la pueden padecer.</w:t>
      </w:r>
    </w:p>
    <w:p w14:paraId="640AD7CF" w14:textId="77777777" w:rsidR="008A6B41" w:rsidRPr="00491102" w:rsidRDefault="008A6B41" w:rsidP="008A6B41">
      <w:pPr>
        <w:spacing w:after="0"/>
        <w:jc w:val="both"/>
        <w:rPr>
          <w:rFonts w:ascii="Arial" w:eastAsia="Arial" w:hAnsi="Arial" w:cs="Arial"/>
        </w:rPr>
      </w:pPr>
    </w:p>
    <w:p w14:paraId="0F060AC0" w14:textId="77777777" w:rsidR="00D779F6" w:rsidRPr="00491102" w:rsidRDefault="00300AB1" w:rsidP="008A6B41">
      <w:pPr>
        <w:spacing w:after="0"/>
        <w:jc w:val="both"/>
        <w:rPr>
          <w:rFonts w:ascii="Arial" w:eastAsia="Arial" w:hAnsi="Arial" w:cs="Arial"/>
          <w:color w:val="000000"/>
        </w:rPr>
      </w:pPr>
      <w:r w:rsidRPr="00491102">
        <w:rPr>
          <w:rFonts w:ascii="Arial" w:eastAsia="Arial" w:hAnsi="Arial" w:cs="Arial"/>
          <w:color w:val="000000"/>
          <w:highlight w:val="white"/>
        </w:rPr>
        <w:t>Esta enfermedad afecta en promedio al 15 % de las mujeres en edad fértil</w:t>
      </w:r>
      <w:r w:rsidRPr="00491102">
        <w:rPr>
          <w:rFonts w:ascii="Arial" w:eastAsia="Arial" w:hAnsi="Arial" w:cs="Arial"/>
          <w:color w:val="000000"/>
        </w:rPr>
        <w:t>, un 30% de las mujeres con esterilidad y un 50% de las pacientes en las que coexiste esterilidad y dolor pélvico crónico.</w:t>
      </w:r>
    </w:p>
    <w:p w14:paraId="75D72676" w14:textId="77777777" w:rsidR="008A6B41" w:rsidRPr="00491102" w:rsidRDefault="008A6B41" w:rsidP="008A6B41">
      <w:pPr>
        <w:spacing w:after="0"/>
        <w:jc w:val="both"/>
        <w:rPr>
          <w:rFonts w:ascii="Arial" w:eastAsia="Arial" w:hAnsi="Arial" w:cs="Arial"/>
          <w:color w:val="000000"/>
        </w:rPr>
      </w:pPr>
    </w:p>
    <w:p w14:paraId="59EB7E58" w14:textId="77777777" w:rsidR="008A6B41" w:rsidRPr="00491102" w:rsidRDefault="00300AB1" w:rsidP="008A6B41">
      <w:pPr>
        <w:shd w:val="clear" w:color="auto" w:fill="FFFFFF"/>
        <w:spacing w:before="120" w:after="0"/>
        <w:jc w:val="both"/>
        <w:rPr>
          <w:rFonts w:ascii="Arial" w:eastAsia="Arial" w:hAnsi="Arial" w:cs="Arial"/>
          <w:color w:val="000000"/>
        </w:rPr>
      </w:pPr>
      <w:r w:rsidRPr="00491102">
        <w:rPr>
          <w:rFonts w:ascii="Arial" w:eastAsia="Arial" w:hAnsi="Arial" w:cs="Arial"/>
          <w:color w:val="000000"/>
        </w:rPr>
        <w:t>Es tal el daño de la endometriosis en la arquitectura del útero, los ovarios y las trompas que hoy en día podemos aseverar que el 70% de las mujeres con trastornos de fertilidad padecen algún grado de la enfermedad. El compromiso para la fertilidad puede aparecer en cualquiera de sus cuatro grados: mínima, leve, moderada y severa. Se podría pensar que en la paciente que tiene pocos focos el compromiso de dolor o para la reproducción no es tan severo. Pero no es así. La endometriosis no respeta esa afectación y en casos leves en el diagnóstico endoscópico puede haber mucha sintomatología, mientras que en los severos podría no ser tan marcada.</w:t>
      </w:r>
    </w:p>
    <w:p w14:paraId="3A5ACB03" w14:textId="77777777" w:rsidR="00491102" w:rsidRPr="00491102" w:rsidRDefault="00491102" w:rsidP="008A6B41">
      <w:pPr>
        <w:shd w:val="clear" w:color="auto" w:fill="FFFFFF"/>
        <w:spacing w:before="120" w:after="0"/>
        <w:jc w:val="both"/>
        <w:rPr>
          <w:rFonts w:ascii="Arial" w:eastAsia="Arial" w:hAnsi="Arial" w:cs="Arial"/>
          <w:color w:val="000000"/>
        </w:rPr>
      </w:pPr>
    </w:p>
    <w:p w14:paraId="482B1226" w14:textId="77777777" w:rsidR="00D779F6" w:rsidRPr="00491102" w:rsidRDefault="00300AB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color w:val="000000"/>
        </w:rPr>
        <w:t>Se estima que entre el 25 y el 50% de las mujeres infértiles sufren endometriosis. Una afección que puede tardar varios años en diagnosticarse y para la que existen diversas opciones terapéuticas.</w:t>
      </w:r>
    </w:p>
    <w:p w14:paraId="37641066" w14:textId="77777777" w:rsidR="00D779F6" w:rsidRPr="00491102" w:rsidRDefault="00D779F6">
      <w:pPr>
        <w:pBdr>
          <w:top w:val="nil"/>
          <w:left w:val="nil"/>
          <w:bottom w:val="nil"/>
          <w:right w:val="nil"/>
          <w:between w:val="nil"/>
        </w:pBdr>
        <w:spacing w:after="0" w:line="240" w:lineRule="auto"/>
        <w:jc w:val="both"/>
        <w:rPr>
          <w:rFonts w:ascii="Arial" w:eastAsia="Arial" w:hAnsi="Arial" w:cs="Arial"/>
          <w:color w:val="000000"/>
        </w:rPr>
      </w:pPr>
    </w:p>
    <w:p w14:paraId="14D5F5AB" w14:textId="77777777" w:rsidR="00D779F6" w:rsidRPr="00491102" w:rsidRDefault="00300AB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color w:val="000000"/>
        </w:rPr>
        <w:t>Según estadísticas de la Asociación Colombiana de Endometriosis e Infertilidad   una de cada diez mujeres entre los 25 y los 35 años sufre de esta enfermedad, con base a las estadísticas del DANE para el 2022 en Bogotá esta cifra asciende   aproximadamente a 80.745 mujeres.</w:t>
      </w:r>
    </w:p>
    <w:p w14:paraId="6F3E6813" w14:textId="77777777" w:rsidR="00491102" w:rsidRPr="00491102" w:rsidRDefault="00491102">
      <w:pPr>
        <w:pBdr>
          <w:top w:val="nil"/>
          <w:left w:val="nil"/>
          <w:bottom w:val="nil"/>
          <w:right w:val="nil"/>
          <w:between w:val="nil"/>
        </w:pBdr>
        <w:spacing w:after="0" w:line="240" w:lineRule="auto"/>
        <w:jc w:val="both"/>
        <w:rPr>
          <w:rFonts w:ascii="Arial" w:eastAsia="Arial" w:hAnsi="Arial" w:cs="Arial"/>
          <w:b/>
          <w:color w:val="000000"/>
        </w:rPr>
      </w:pPr>
    </w:p>
    <w:p w14:paraId="482BA1A1" w14:textId="77777777" w:rsidR="00D779F6" w:rsidRPr="00491102" w:rsidRDefault="00300AB1">
      <w:pPr>
        <w:pBdr>
          <w:top w:val="nil"/>
          <w:left w:val="nil"/>
          <w:bottom w:val="nil"/>
          <w:right w:val="nil"/>
          <w:between w:val="nil"/>
        </w:pBdr>
        <w:spacing w:after="0" w:line="240" w:lineRule="auto"/>
        <w:jc w:val="both"/>
        <w:rPr>
          <w:rFonts w:ascii="Arial" w:eastAsia="Arial" w:hAnsi="Arial" w:cs="Arial"/>
          <w:b/>
          <w:color w:val="000000"/>
        </w:rPr>
      </w:pPr>
      <w:r w:rsidRPr="00491102">
        <w:rPr>
          <w:rFonts w:ascii="Arial" w:eastAsia="Arial" w:hAnsi="Arial" w:cs="Arial"/>
          <w:b/>
          <w:color w:val="000000"/>
        </w:rPr>
        <w:t>PROYECCIONES DE POBLACIÓN TOTAL, POR SEXO Y GRUPO DE EDAD ENTRE 25 AÑOS HASTA 35 AÑOS, EN LA CIUDAD DE BOGOTÁ.</w:t>
      </w:r>
    </w:p>
    <w:p w14:paraId="4CE479B9" w14:textId="77777777" w:rsidR="00D779F6" w:rsidRPr="00491102" w:rsidRDefault="00D779F6">
      <w:pPr>
        <w:pBdr>
          <w:top w:val="nil"/>
          <w:left w:val="nil"/>
          <w:bottom w:val="nil"/>
          <w:right w:val="nil"/>
          <w:between w:val="nil"/>
        </w:pBdr>
        <w:spacing w:after="0" w:line="240" w:lineRule="auto"/>
        <w:jc w:val="both"/>
        <w:rPr>
          <w:rFonts w:ascii="Arial" w:eastAsia="Arial" w:hAnsi="Arial" w:cs="Arial"/>
          <w:b/>
          <w:color w:val="000000"/>
        </w:rPr>
      </w:pPr>
    </w:p>
    <w:tbl>
      <w:tblPr>
        <w:tblStyle w:val="a"/>
        <w:tblW w:w="6121" w:type="dxa"/>
        <w:jc w:val="center"/>
        <w:tblInd w:w="0" w:type="dxa"/>
        <w:tblLayout w:type="fixed"/>
        <w:tblLook w:val="0400" w:firstRow="0" w:lastRow="0" w:firstColumn="0" w:lastColumn="0" w:noHBand="0" w:noVBand="1"/>
      </w:tblPr>
      <w:tblGrid>
        <w:gridCol w:w="877"/>
        <w:gridCol w:w="1208"/>
        <w:gridCol w:w="1181"/>
        <w:gridCol w:w="1048"/>
        <w:gridCol w:w="1807"/>
      </w:tblGrid>
      <w:tr w:rsidR="00D779F6" w:rsidRPr="00491102" w14:paraId="239F4499" w14:textId="77777777">
        <w:trPr>
          <w:trHeight w:val="349"/>
          <w:tblHeader/>
          <w:jc w:val="center"/>
        </w:trPr>
        <w:tc>
          <w:tcPr>
            <w:tcW w:w="877"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41E9F0C"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Año</w:t>
            </w:r>
          </w:p>
        </w:tc>
        <w:tc>
          <w:tcPr>
            <w:tcW w:w="1208" w:type="dxa"/>
            <w:tcBorders>
              <w:top w:val="single" w:sz="8" w:space="0" w:color="000000"/>
              <w:left w:val="nil"/>
              <w:bottom w:val="single" w:sz="8" w:space="0" w:color="000000"/>
              <w:right w:val="single" w:sz="8" w:space="0" w:color="000000"/>
            </w:tcBorders>
            <w:shd w:val="clear" w:color="auto" w:fill="D9D9D9"/>
            <w:vAlign w:val="center"/>
          </w:tcPr>
          <w:p w14:paraId="55C87E54"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Total</w:t>
            </w:r>
          </w:p>
        </w:tc>
        <w:tc>
          <w:tcPr>
            <w:tcW w:w="1181" w:type="dxa"/>
            <w:tcBorders>
              <w:top w:val="single" w:sz="8" w:space="0" w:color="000000"/>
              <w:left w:val="nil"/>
              <w:bottom w:val="single" w:sz="8" w:space="0" w:color="000000"/>
              <w:right w:val="single" w:sz="8" w:space="0" w:color="000000"/>
            </w:tcBorders>
            <w:shd w:val="clear" w:color="auto" w:fill="D9D9D9"/>
            <w:vAlign w:val="center"/>
          </w:tcPr>
          <w:p w14:paraId="07A336CF"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Hombres</w:t>
            </w:r>
          </w:p>
        </w:tc>
        <w:tc>
          <w:tcPr>
            <w:tcW w:w="1048" w:type="dxa"/>
            <w:tcBorders>
              <w:top w:val="single" w:sz="8" w:space="0" w:color="000000"/>
              <w:left w:val="nil"/>
              <w:bottom w:val="single" w:sz="8" w:space="0" w:color="000000"/>
              <w:right w:val="single" w:sz="8" w:space="0" w:color="000000"/>
            </w:tcBorders>
            <w:shd w:val="clear" w:color="auto" w:fill="D9D9D9"/>
            <w:vAlign w:val="center"/>
          </w:tcPr>
          <w:p w14:paraId="1B7A51F5"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Mujeres</w:t>
            </w:r>
          </w:p>
        </w:tc>
        <w:tc>
          <w:tcPr>
            <w:tcW w:w="1807" w:type="dxa"/>
            <w:tcBorders>
              <w:top w:val="single" w:sz="8" w:space="0" w:color="000000"/>
              <w:left w:val="nil"/>
              <w:bottom w:val="single" w:sz="8" w:space="0" w:color="000000"/>
              <w:right w:val="single" w:sz="8" w:space="0" w:color="000000"/>
            </w:tcBorders>
            <w:shd w:val="clear" w:color="auto" w:fill="D9D9D9"/>
            <w:vAlign w:val="center"/>
          </w:tcPr>
          <w:p w14:paraId="3EA6E4AB"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Población de Mujeres que Sufren de Endometriosis (10%)</w:t>
            </w:r>
          </w:p>
        </w:tc>
      </w:tr>
      <w:tr w:rsidR="00D779F6" w:rsidRPr="00491102" w14:paraId="0565B1F7"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30175835"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2005</w:t>
            </w:r>
          </w:p>
        </w:tc>
        <w:tc>
          <w:tcPr>
            <w:tcW w:w="1208" w:type="dxa"/>
            <w:tcBorders>
              <w:top w:val="nil"/>
              <w:left w:val="nil"/>
              <w:bottom w:val="single" w:sz="8" w:space="0" w:color="000000"/>
              <w:right w:val="single" w:sz="8" w:space="0" w:color="000000"/>
            </w:tcBorders>
            <w:shd w:val="clear" w:color="auto" w:fill="auto"/>
            <w:vAlign w:val="center"/>
          </w:tcPr>
          <w:p w14:paraId="0A9FACB1"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1.253.567</w:t>
            </w:r>
          </w:p>
        </w:tc>
        <w:tc>
          <w:tcPr>
            <w:tcW w:w="1181" w:type="dxa"/>
            <w:tcBorders>
              <w:top w:val="nil"/>
              <w:left w:val="nil"/>
              <w:bottom w:val="single" w:sz="8" w:space="0" w:color="000000"/>
              <w:right w:val="single" w:sz="8" w:space="0" w:color="000000"/>
            </w:tcBorders>
            <w:shd w:val="clear" w:color="auto" w:fill="auto"/>
            <w:vAlign w:val="center"/>
          </w:tcPr>
          <w:p w14:paraId="2AB0C810"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599.237</w:t>
            </w:r>
          </w:p>
        </w:tc>
        <w:tc>
          <w:tcPr>
            <w:tcW w:w="1048" w:type="dxa"/>
            <w:tcBorders>
              <w:top w:val="nil"/>
              <w:left w:val="nil"/>
              <w:bottom w:val="single" w:sz="8" w:space="0" w:color="000000"/>
              <w:right w:val="single" w:sz="8" w:space="0" w:color="000000"/>
            </w:tcBorders>
            <w:shd w:val="clear" w:color="auto" w:fill="auto"/>
            <w:vAlign w:val="center"/>
          </w:tcPr>
          <w:p w14:paraId="5AF7C568"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654.330</w:t>
            </w:r>
          </w:p>
        </w:tc>
        <w:tc>
          <w:tcPr>
            <w:tcW w:w="1807" w:type="dxa"/>
            <w:tcBorders>
              <w:top w:val="nil"/>
              <w:left w:val="nil"/>
              <w:bottom w:val="single" w:sz="8" w:space="0" w:color="000000"/>
              <w:right w:val="single" w:sz="8" w:space="0" w:color="000000"/>
            </w:tcBorders>
            <w:shd w:val="clear" w:color="auto" w:fill="auto"/>
            <w:vAlign w:val="center"/>
          </w:tcPr>
          <w:p w14:paraId="6E5D1E70"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65.433</w:t>
            </w:r>
          </w:p>
        </w:tc>
      </w:tr>
      <w:tr w:rsidR="00D779F6" w:rsidRPr="00491102" w14:paraId="13A122D9"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29690D33"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2006</w:t>
            </w:r>
          </w:p>
        </w:tc>
        <w:tc>
          <w:tcPr>
            <w:tcW w:w="1208" w:type="dxa"/>
            <w:tcBorders>
              <w:top w:val="nil"/>
              <w:left w:val="nil"/>
              <w:bottom w:val="single" w:sz="8" w:space="0" w:color="000000"/>
              <w:right w:val="single" w:sz="8" w:space="0" w:color="000000"/>
            </w:tcBorders>
            <w:shd w:val="clear" w:color="auto" w:fill="auto"/>
            <w:vAlign w:val="center"/>
          </w:tcPr>
          <w:p w14:paraId="3E2C2768"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1.279.160</w:t>
            </w:r>
          </w:p>
        </w:tc>
        <w:tc>
          <w:tcPr>
            <w:tcW w:w="1181" w:type="dxa"/>
            <w:tcBorders>
              <w:top w:val="nil"/>
              <w:left w:val="nil"/>
              <w:bottom w:val="single" w:sz="8" w:space="0" w:color="000000"/>
              <w:right w:val="single" w:sz="8" w:space="0" w:color="000000"/>
            </w:tcBorders>
            <w:shd w:val="clear" w:color="auto" w:fill="auto"/>
            <w:vAlign w:val="center"/>
          </w:tcPr>
          <w:p w14:paraId="3EF09E5E"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611.077</w:t>
            </w:r>
          </w:p>
        </w:tc>
        <w:tc>
          <w:tcPr>
            <w:tcW w:w="1048" w:type="dxa"/>
            <w:tcBorders>
              <w:top w:val="nil"/>
              <w:left w:val="nil"/>
              <w:bottom w:val="single" w:sz="8" w:space="0" w:color="000000"/>
              <w:right w:val="single" w:sz="8" w:space="0" w:color="000000"/>
            </w:tcBorders>
            <w:shd w:val="clear" w:color="auto" w:fill="auto"/>
            <w:vAlign w:val="center"/>
          </w:tcPr>
          <w:p w14:paraId="2FF850F8"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668.083</w:t>
            </w:r>
          </w:p>
        </w:tc>
        <w:tc>
          <w:tcPr>
            <w:tcW w:w="1807" w:type="dxa"/>
            <w:tcBorders>
              <w:top w:val="nil"/>
              <w:left w:val="nil"/>
              <w:bottom w:val="single" w:sz="8" w:space="0" w:color="000000"/>
              <w:right w:val="single" w:sz="8" w:space="0" w:color="000000"/>
            </w:tcBorders>
            <w:shd w:val="clear" w:color="auto" w:fill="auto"/>
            <w:vAlign w:val="center"/>
          </w:tcPr>
          <w:p w14:paraId="6447053F"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66.808</w:t>
            </w:r>
          </w:p>
        </w:tc>
      </w:tr>
      <w:tr w:rsidR="00D779F6" w:rsidRPr="00491102" w14:paraId="37B195F9"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27C293F5"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2007</w:t>
            </w:r>
          </w:p>
        </w:tc>
        <w:tc>
          <w:tcPr>
            <w:tcW w:w="1208" w:type="dxa"/>
            <w:tcBorders>
              <w:top w:val="nil"/>
              <w:left w:val="nil"/>
              <w:bottom w:val="single" w:sz="8" w:space="0" w:color="000000"/>
              <w:right w:val="single" w:sz="8" w:space="0" w:color="000000"/>
            </w:tcBorders>
            <w:shd w:val="clear" w:color="auto" w:fill="auto"/>
            <w:vAlign w:val="center"/>
          </w:tcPr>
          <w:p w14:paraId="6EB2EF86"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1.307.308</w:t>
            </w:r>
          </w:p>
        </w:tc>
        <w:tc>
          <w:tcPr>
            <w:tcW w:w="1181" w:type="dxa"/>
            <w:tcBorders>
              <w:top w:val="nil"/>
              <w:left w:val="nil"/>
              <w:bottom w:val="single" w:sz="8" w:space="0" w:color="000000"/>
              <w:right w:val="single" w:sz="8" w:space="0" w:color="000000"/>
            </w:tcBorders>
            <w:shd w:val="clear" w:color="auto" w:fill="auto"/>
            <w:vAlign w:val="center"/>
          </w:tcPr>
          <w:p w14:paraId="619BD97E"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623.885</w:t>
            </w:r>
          </w:p>
        </w:tc>
        <w:tc>
          <w:tcPr>
            <w:tcW w:w="1048" w:type="dxa"/>
            <w:tcBorders>
              <w:top w:val="nil"/>
              <w:left w:val="nil"/>
              <w:bottom w:val="single" w:sz="8" w:space="0" w:color="000000"/>
              <w:right w:val="single" w:sz="8" w:space="0" w:color="000000"/>
            </w:tcBorders>
            <w:shd w:val="clear" w:color="auto" w:fill="auto"/>
            <w:vAlign w:val="center"/>
          </w:tcPr>
          <w:p w14:paraId="32F3B3AE"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683.423</w:t>
            </w:r>
          </w:p>
        </w:tc>
        <w:tc>
          <w:tcPr>
            <w:tcW w:w="1807" w:type="dxa"/>
            <w:tcBorders>
              <w:top w:val="nil"/>
              <w:left w:val="nil"/>
              <w:bottom w:val="single" w:sz="8" w:space="0" w:color="000000"/>
              <w:right w:val="single" w:sz="8" w:space="0" w:color="000000"/>
            </w:tcBorders>
            <w:shd w:val="clear" w:color="auto" w:fill="auto"/>
            <w:vAlign w:val="center"/>
          </w:tcPr>
          <w:p w14:paraId="4A40EC2F"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68.342</w:t>
            </w:r>
          </w:p>
        </w:tc>
      </w:tr>
      <w:tr w:rsidR="00D779F6" w:rsidRPr="00491102" w14:paraId="2B331C54"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32D35590"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2008</w:t>
            </w:r>
          </w:p>
        </w:tc>
        <w:tc>
          <w:tcPr>
            <w:tcW w:w="1208" w:type="dxa"/>
            <w:tcBorders>
              <w:top w:val="nil"/>
              <w:left w:val="nil"/>
              <w:bottom w:val="single" w:sz="8" w:space="0" w:color="000000"/>
              <w:right w:val="single" w:sz="8" w:space="0" w:color="000000"/>
            </w:tcBorders>
            <w:shd w:val="clear" w:color="auto" w:fill="auto"/>
            <w:vAlign w:val="center"/>
          </w:tcPr>
          <w:p w14:paraId="70864290"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1.335.687</w:t>
            </w:r>
          </w:p>
        </w:tc>
        <w:tc>
          <w:tcPr>
            <w:tcW w:w="1181" w:type="dxa"/>
            <w:tcBorders>
              <w:top w:val="nil"/>
              <w:left w:val="nil"/>
              <w:bottom w:val="single" w:sz="8" w:space="0" w:color="000000"/>
              <w:right w:val="single" w:sz="8" w:space="0" w:color="000000"/>
            </w:tcBorders>
            <w:shd w:val="clear" w:color="auto" w:fill="auto"/>
            <w:vAlign w:val="center"/>
          </w:tcPr>
          <w:p w14:paraId="69B47290"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636.860</w:t>
            </w:r>
          </w:p>
        </w:tc>
        <w:tc>
          <w:tcPr>
            <w:tcW w:w="1048" w:type="dxa"/>
            <w:tcBorders>
              <w:top w:val="nil"/>
              <w:left w:val="nil"/>
              <w:bottom w:val="single" w:sz="8" w:space="0" w:color="000000"/>
              <w:right w:val="single" w:sz="8" w:space="0" w:color="000000"/>
            </w:tcBorders>
            <w:shd w:val="clear" w:color="auto" w:fill="auto"/>
            <w:vAlign w:val="center"/>
          </w:tcPr>
          <w:p w14:paraId="4A9C0003"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698.827</w:t>
            </w:r>
          </w:p>
        </w:tc>
        <w:tc>
          <w:tcPr>
            <w:tcW w:w="1807" w:type="dxa"/>
            <w:tcBorders>
              <w:top w:val="nil"/>
              <w:left w:val="nil"/>
              <w:bottom w:val="single" w:sz="8" w:space="0" w:color="000000"/>
              <w:right w:val="single" w:sz="8" w:space="0" w:color="000000"/>
            </w:tcBorders>
            <w:shd w:val="clear" w:color="auto" w:fill="auto"/>
            <w:vAlign w:val="center"/>
          </w:tcPr>
          <w:p w14:paraId="5DB95D09"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69.883</w:t>
            </w:r>
          </w:p>
        </w:tc>
      </w:tr>
      <w:tr w:rsidR="00D779F6" w:rsidRPr="00491102" w14:paraId="580B2965"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62D2983B"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2009</w:t>
            </w:r>
          </w:p>
        </w:tc>
        <w:tc>
          <w:tcPr>
            <w:tcW w:w="1208" w:type="dxa"/>
            <w:tcBorders>
              <w:top w:val="nil"/>
              <w:left w:val="nil"/>
              <w:bottom w:val="single" w:sz="8" w:space="0" w:color="000000"/>
              <w:right w:val="single" w:sz="8" w:space="0" w:color="000000"/>
            </w:tcBorders>
            <w:shd w:val="clear" w:color="auto" w:fill="auto"/>
            <w:vAlign w:val="center"/>
          </w:tcPr>
          <w:p w14:paraId="442707D8"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1.360.837</w:t>
            </w:r>
          </w:p>
        </w:tc>
        <w:tc>
          <w:tcPr>
            <w:tcW w:w="1181" w:type="dxa"/>
            <w:tcBorders>
              <w:top w:val="nil"/>
              <w:left w:val="nil"/>
              <w:bottom w:val="single" w:sz="8" w:space="0" w:color="000000"/>
              <w:right w:val="single" w:sz="8" w:space="0" w:color="000000"/>
            </w:tcBorders>
            <w:shd w:val="clear" w:color="auto" w:fill="auto"/>
            <w:vAlign w:val="center"/>
          </w:tcPr>
          <w:p w14:paraId="2864BF57"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648.850</w:t>
            </w:r>
          </w:p>
        </w:tc>
        <w:tc>
          <w:tcPr>
            <w:tcW w:w="1048" w:type="dxa"/>
            <w:tcBorders>
              <w:top w:val="nil"/>
              <w:left w:val="nil"/>
              <w:bottom w:val="single" w:sz="8" w:space="0" w:color="000000"/>
              <w:right w:val="single" w:sz="8" w:space="0" w:color="000000"/>
            </w:tcBorders>
            <w:shd w:val="clear" w:color="auto" w:fill="auto"/>
            <w:vAlign w:val="center"/>
          </w:tcPr>
          <w:p w14:paraId="3C0D263A"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711.987</w:t>
            </w:r>
          </w:p>
        </w:tc>
        <w:tc>
          <w:tcPr>
            <w:tcW w:w="1807" w:type="dxa"/>
            <w:tcBorders>
              <w:top w:val="nil"/>
              <w:left w:val="nil"/>
              <w:bottom w:val="single" w:sz="8" w:space="0" w:color="000000"/>
              <w:right w:val="single" w:sz="8" w:space="0" w:color="000000"/>
            </w:tcBorders>
            <w:shd w:val="clear" w:color="auto" w:fill="auto"/>
            <w:vAlign w:val="center"/>
          </w:tcPr>
          <w:p w14:paraId="5F804CB2"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71.199</w:t>
            </w:r>
          </w:p>
        </w:tc>
      </w:tr>
      <w:tr w:rsidR="00D779F6" w:rsidRPr="00491102" w14:paraId="456F24ED"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3F3FF4A3"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2010</w:t>
            </w:r>
          </w:p>
        </w:tc>
        <w:tc>
          <w:tcPr>
            <w:tcW w:w="1208" w:type="dxa"/>
            <w:tcBorders>
              <w:top w:val="nil"/>
              <w:left w:val="nil"/>
              <w:bottom w:val="single" w:sz="8" w:space="0" w:color="000000"/>
              <w:right w:val="single" w:sz="8" w:space="0" w:color="000000"/>
            </w:tcBorders>
            <w:shd w:val="clear" w:color="auto" w:fill="auto"/>
            <w:vAlign w:val="center"/>
          </w:tcPr>
          <w:p w14:paraId="1398EF1A"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1.380.673</w:t>
            </w:r>
          </w:p>
        </w:tc>
        <w:tc>
          <w:tcPr>
            <w:tcW w:w="1181" w:type="dxa"/>
            <w:tcBorders>
              <w:top w:val="nil"/>
              <w:left w:val="nil"/>
              <w:bottom w:val="single" w:sz="8" w:space="0" w:color="000000"/>
              <w:right w:val="single" w:sz="8" w:space="0" w:color="000000"/>
            </w:tcBorders>
            <w:shd w:val="clear" w:color="auto" w:fill="auto"/>
            <w:vAlign w:val="center"/>
          </w:tcPr>
          <w:p w14:paraId="6D1982C6"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659.171</w:t>
            </w:r>
          </w:p>
        </w:tc>
        <w:tc>
          <w:tcPr>
            <w:tcW w:w="1048" w:type="dxa"/>
            <w:tcBorders>
              <w:top w:val="nil"/>
              <w:left w:val="nil"/>
              <w:bottom w:val="single" w:sz="8" w:space="0" w:color="000000"/>
              <w:right w:val="single" w:sz="8" w:space="0" w:color="000000"/>
            </w:tcBorders>
            <w:shd w:val="clear" w:color="auto" w:fill="auto"/>
            <w:vAlign w:val="center"/>
          </w:tcPr>
          <w:p w14:paraId="06BAC6F7"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721.502</w:t>
            </w:r>
          </w:p>
        </w:tc>
        <w:tc>
          <w:tcPr>
            <w:tcW w:w="1807" w:type="dxa"/>
            <w:tcBorders>
              <w:top w:val="nil"/>
              <w:left w:val="nil"/>
              <w:bottom w:val="single" w:sz="8" w:space="0" w:color="000000"/>
              <w:right w:val="single" w:sz="8" w:space="0" w:color="000000"/>
            </w:tcBorders>
            <w:shd w:val="clear" w:color="auto" w:fill="auto"/>
            <w:vAlign w:val="center"/>
          </w:tcPr>
          <w:p w14:paraId="466FADE6"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72.150</w:t>
            </w:r>
          </w:p>
        </w:tc>
      </w:tr>
      <w:tr w:rsidR="00D779F6" w:rsidRPr="00491102" w14:paraId="2FAE70D6"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53E85FCE"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2011</w:t>
            </w:r>
          </w:p>
        </w:tc>
        <w:tc>
          <w:tcPr>
            <w:tcW w:w="1208" w:type="dxa"/>
            <w:tcBorders>
              <w:top w:val="nil"/>
              <w:left w:val="nil"/>
              <w:bottom w:val="single" w:sz="8" w:space="0" w:color="000000"/>
              <w:right w:val="single" w:sz="8" w:space="0" w:color="000000"/>
            </w:tcBorders>
            <w:shd w:val="clear" w:color="auto" w:fill="auto"/>
            <w:vAlign w:val="center"/>
          </w:tcPr>
          <w:p w14:paraId="14B03529"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1.395.785</w:t>
            </w:r>
          </w:p>
        </w:tc>
        <w:tc>
          <w:tcPr>
            <w:tcW w:w="1181" w:type="dxa"/>
            <w:tcBorders>
              <w:top w:val="nil"/>
              <w:left w:val="nil"/>
              <w:bottom w:val="single" w:sz="8" w:space="0" w:color="000000"/>
              <w:right w:val="single" w:sz="8" w:space="0" w:color="000000"/>
            </w:tcBorders>
            <w:shd w:val="clear" w:color="auto" w:fill="auto"/>
            <w:vAlign w:val="center"/>
          </w:tcPr>
          <w:p w14:paraId="46F418C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668.085</w:t>
            </w:r>
          </w:p>
        </w:tc>
        <w:tc>
          <w:tcPr>
            <w:tcW w:w="1048" w:type="dxa"/>
            <w:tcBorders>
              <w:top w:val="nil"/>
              <w:left w:val="nil"/>
              <w:bottom w:val="single" w:sz="8" w:space="0" w:color="000000"/>
              <w:right w:val="single" w:sz="8" w:space="0" w:color="000000"/>
            </w:tcBorders>
            <w:shd w:val="clear" w:color="auto" w:fill="auto"/>
            <w:vAlign w:val="center"/>
          </w:tcPr>
          <w:p w14:paraId="1D672438"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727.700</w:t>
            </w:r>
          </w:p>
        </w:tc>
        <w:tc>
          <w:tcPr>
            <w:tcW w:w="1807" w:type="dxa"/>
            <w:tcBorders>
              <w:top w:val="nil"/>
              <w:left w:val="nil"/>
              <w:bottom w:val="single" w:sz="8" w:space="0" w:color="000000"/>
              <w:right w:val="single" w:sz="8" w:space="0" w:color="000000"/>
            </w:tcBorders>
            <w:shd w:val="clear" w:color="auto" w:fill="auto"/>
            <w:vAlign w:val="center"/>
          </w:tcPr>
          <w:p w14:paraId="18E54C57"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72.770</w:t>
            </w:r>
          </w:p>
        </w:tc>
      </w:tr>
      <w:tr w:rsidR="00D779F6" w:rsidRPr="00491102" w14:paraId="68D5BC42"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522B834E"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2012</w:t>
            </w:r>
          </w:p>
        </w:tc>
        <w:tc>
          <w:tcPr>
            <w:tcW w:w="1208" w:type="dxa"/>
            <w:tcBorders>
              <w:top w:val="nil"/>
              <w:left w:val="nil"/>
              <w:bottom w:val="single" w:sz="8" w:space="0" w:color="000000"/>
              <w:right w:val="single" w:sz="8" w:space="0" w:color="000000"/>
            </w:tcBorders>
            <w:shd w:val="clear" w:color="auto" w:fill="auto"/>
            <w:vAlign w:val="center"/>
          </w:tcPr>
          <w:p w14:paraId="6A591EB3"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1.405.534</w:t>
            </w:r>
          </w:p>
        </w:tc>
        <w:tc>
          <w:tcPr>
            <w:tcW w:w="1181" w:type="dxa"/>
            <w:tcBorders>
              <w:top w:val="nil"/>
              <w:left w:val="nil"/>
              <w:bottom w:val="single" w:sz="8" w:space="0" w:color="000000"/>
              <w:right w:val="single" w:sz="8" w:space="0" w:color="000000"/>
            </w:tcBorders>
            <w:shd w:val="clear" w:color="auto" w:fill="auto"/>
            <w:vAlign w:val="center"/>
          </w:tcPr>
          <w:p w14:paraId="77FBB149"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675.222</w:t>
            </w:r>
          </w:p>
        </w:tc>
        <w:tc>
          <w:tcPr>
            <w:tcW w:w="1048" w:type="dxa"/>
            <w:tcBorders>
              <w:top w:val="nil"/>
              <w:left w:val="nil"/>
              <w:bottom w:val="single" w:sz="8" w:space="0" w:color="000000"/>
              <w:right w:val="single" w:sz="8" w:space="0" w:color="000000"/>
            </w:tcBorders>
            <w:shd w:val="clear" w:color="auto" w:fill="auto"/>
            <w:vAlign w:val="center"/>
          </w:tcPr>
          <w:p w14:paraId="0DCD2BD1"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730.312</w:t>
            </w:r>
          </w:p>
        </w:tc>
        <w:tc>
          <w:tcPr>
            <w:tcW w:w="1807" w:type="dxa"/>
            <w:tcBorders>
              <w:top w:val="nil"/>
              <w:left w:val="nil"/>
              <w:bottom w:val="single" w:sz="8" w:space="0" w:color="000000"/>
              <w:right w:val="single" w:sz="8" w:space="0" w:color="000000"/>
            </w:tcBorders>
            <w:shd w:val="clear" w:color="auto" w:fill="auto"/>
            <w:vAlign w:val="center"/>
          </w:tcPr>
          <w:p w14:paraId="1316B2CA"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73.031</w:t>
            </w:r>
          </w:p>
        </w:tc>
      </w:tr>
      <w:tr w:rsidR="00D779F6" w:rsidRPr="00491102" w14:paraId="65C92417"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6AA417C0"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2013</w:t>
            </w:r>
          </w:p>
        </w:tc>
        <w:tc>
          <w:tcPr>
            <w:tcW w:w="1208" w:type="dxa"/>
            <w:tcBorders>
              <w:top w:val="nil"/>
              <w:left w:val="nil"/>
              <w:bottom w:val="single" w:sz="8" w:space="0" w:color="000000"/>
              <w:right w:val="single" w:sz="8" w:space="0" w:color="000000"/>
            </w:tcBorders>
            <w:shd w:val="clear" w:color="auto" w:fill="auto"/>
            <w:vAlign w:val="center"/>
          </w:tcPr>
          <w:p w14:paraId="3430108B"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1.411.424</w:t>
            </w:r>
          </w:p>
        </w:tc>
        <w:tc>
          <w:tcPr>
            <w:tcW w:w="1181" w:type="dxa"/>
            <w:tcBorders>
              <w:top w:val="nil"/>
              <w:left w:val="nil"/>
              <w:bottom w:val="single" w:sz="8" w:space="0" w:color="000000"/>
              <w:right w:val="single" w:sz="8" w:space="0" w:color="000000"/>
            </w:tcBorders>
            <w:shd w:val="clear" w:color="auto" w:fill="auto"/>
            <w:vAlign w:val="center"/>
          </w:tcPr>
          <w:p w14:paraId="32F77EA3"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681.165</w:t>
            </w:r>
          </w:p>
        </w:tc>
        <w:tc>
          <w:tcPr>
            <w:tcW w:w="1048" w:type="dxa"/>
            <w:tcBorders>
              <w:top w:val="nil"/>
              <w:left w:val="nil"/>
              <w:bottom w:val="single" w:sz="8" w:space="0" w:color="000000"/>
              <w:right w:val="single" w:sz="8" w:space="0" w:color="000000"/>
            </w:tcBorders>
            <w:shd w:val="clear" w:color="auto" w:fill="auto"/>
            <w:vAlign w:val="center"/>
          </w:tcPr>
          <w:p w14:paraId="5BC1FA6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730.259</w:t>
            </w:r>
          </w:p>
        </w:tc>
        <w:tc>
          <w:tcPr>
            <w:tcW w:w="1807" w:type="dxa"/>
            <w:tcBorders>
              <w:top w:val="nil"/>
              <w:left w:val="nil"/>
              <w:bottom w:val="single" w:sz="8" w:space="0" w:color="000000"/>
              <w:right w:val="single" w:sz="8" w:space="0" w:color="000000"/>
            </w:tcBorders>
            <w:shd w:val="clear" w:color="auto" w:fill="auto"/>
            <w:vAlign w:val="center"/>
          </w:tcPr>
          <w:p w14:paraId="3BAFE3F6"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73.026</w:t>
            </w:r>
          </w:p>
        </w:tc>
      </w:tr>
      <w:tr w:rsidR="00D779F6" w:rsidRPr="00491102" w14:paraId="6E33E6F9"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707A6A62"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2014</w:t>
            </w:r>
          </w:p>
        </w:tc>
        <w:tc>
          <w:tcPr>
            <w:tcW w:w="1208" w:type="dxa"/>
            <w:tcBorders>
              <w:top w:val="nil"/>
              <w:left w:val="nil"/>
              <w:bottom w:val="single" w:sz="8" w:space="0" w:color="000000"/>
              <w:right w:val="single" w:sz="8" w:space="0" w:color="000000"/>
            </w:tcBorders>
            <w:shd w:val="clear" w:color="auto" w:fill="auto"/>
            <w:vAlign w:val="center"/>
          </w:tcPr>
          <w:p w14:paraId="23501E40"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1.416.140</w:t>
            </w:r>
          </w:p>
        </w:tc>
        <w:tc>
          <w:tcPr>
            <w:tcW w:w="1181" w:type="dxa"/>
            <w:tcBorders>
              <w:top w:val="nil"/>
              <w:left w:val="nil"/>
              <w:bottom w:val="single" w:sz="8" w:space="0" w:color="000000"/>
              <w:right w:val="single" w:sz="8" w:space="0" w:color="000000"/>
            </w:tcBorders>
            <w:shd w:val="clear" w:color="auto" w:fill="auto"/>
            <w:vAlign w:val="center"/>
          </w:tcPr>
          <w:p w14:paraId="53A53F69"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686.975</w:t>
            </w:r>
          </w:p>
        </w:tc>
        <w:tc>
          <w:tcPr>
            <w:tcW w:w="1048" w:type="dxa"/>
            <w:tcBorders>
              <w:top w:val="nil"/>
              <w:left w:val="nil"/>
              <w:bottom w:val="single" w:sz="8" w:space="0" w:color="000000"/>
              <w:right w:val="single" w:sz="8" w:space="0" w:color="000000"/>
            </w:tcBorders>
            <w:shd w:val="clear" w:color="auto" w:fill="auto"/>
            <w:vAlign w:val="center"/>
          </w:tcPr>
          <w:p w14:paraId="057E87E6"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729.165</w:t>
            </w:r>
          </w:p>
        </w:tc>
        <w:tc>
          <w:tcPr>
            <w:tcW w:w="1807" w:type="dxa"/>
            <w:tcBorders>
              <w:top w:val="nil"/>
              <w:left w:val="nil"/>
              <w:bottom w:val="single" w:sz="8" w:space="0" w:color="000000"/>
              <w:right w:val="single" w:sz="8" w:space="0" w:color="000000"/>
            </w:tcBorders>
            <w:shd w:val="clear" w:color="auto" w:fill="auto"/>
            <w:vAlign w:val="center"/>
          </w:tcPr>
          <w:p w14:paraId="6230337B"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72.917</w:t>
            </w:r>
          </w:p>
        </w:tc>
      </w:tr>
      <w:tr w:rsidR="00D779F6" w:rsidRPr="00491102" w14:paraId="231CF40C"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5830D0DF"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2015</w:t>
            </w:r>
          </w:p>
        </w:tc>
        <w:tc>
          <w:tcPr>
            <w:tcW w:w="1208" w:type="dxa"/>
            <w:tcBorders>
              <w:top w:val="nil"/>
              <w:left w:val="nil"/>
              <w:bottom w:val="single" w:sz="8" w:space="0" w:color="000000"/>
              <w:right w:val="single" w:sz="8" w:space="0" w:color="000000"/>
            </w:tcBorders>
            <w:shd w:val="clear" w:color="auto" w:fill="auto"/>
            <w:vAlign w:val="center"/>
          </w:tcPr>
          <w:p w14:paraId="63C9E2EF"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1.421.576</w:t>
            </w:r>
          </w:p>
        </w:tc>
        <w:tc>
          <w:tcPr>
            <w:tcW w:w="1181" w:type="dxa"/>
            <w:tcBorders>
              <w:top w:val="nil"/>
              <w:left w:val="nil"/>
              <w:bottom w:val="single" w:sz="8" w:space="0" w:color="000000"/>
              <w:right w:val="single" w:sz="8" w:space="0" w:color="000000"/>
            </w:tcBorders>
            <w:shd w:val="clear" w:color="auto" w:fill="auto"/>
            <w:vAlign w:val="center"/>
          </w:tcPr>
          <w:p w14:paraId="5313E88E"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693.364</w:t>
            </w:r>
          </w:p>
        </w:tc>
        <w:tc>
          <w:tcPr>
            <w:tcW w:w="1048" w:type="dxa"/>
            <w:tcBorders>
              <w:top w:val="nil"/>
              <w:left w:val="nil"/>
              <w:bottom w:val="single" w:sz="8" w:space="0" w:color="000000"/>
              <w:right w:val="single" w:sz="8" w:space="0" w:color="000000"/>
            </w:tcBorders>
            <w:shd w:val="clear" w:color="auto" w:fill="auto"/>
            <w:vAlign w:val="center"/>
          </w:tcPr>
          <w:p w14:paraId="3DCD617C"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728.212</w:t>
            </w:r>
          </w:p>
        </w:tc>
        <w:tc>
          <w:tcPr>
            <w:tcW w:w="1807" w:type="dxa"/>
            <w:tcBorders>
              <w:top w:val="nil"/>
              <w:left w:val="nil"/>
              <w:bottom w:val="single" w:sz="8" w:space="0" w:color="000000"/>
              <w:right w:val="single" w:sz="8" w:space="0" w:color="000000"/>
            </w:tcBorders>
            <w:shd w:val="clear" w:color="auto" w:fill="auto"/>
            <w:vAlign w:val="center"/>
          </w:tcPr>
          <w:p w14:paraId="0B2199FB"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72.821</w:t>
            </w:r>
          </w:p>
        </w:tc>
      </w:tr>
      <w:tr w:rsidR="00D779F6" w:rsidRPr="00491102" w14:paraId="609BE367"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28CB3D3D"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2016</w:t>
            </w:r>
          </w:p>
        </w:tc>
        <w:tc>
          <w:tcPr>
            <w:tcW w:w="1208" w:type="dxa"/>
            <w:tcBorders>
              <w:top w:val="nil"/>
              <w:left w:val="nil"/>
              <w:bottom w:val="single" w:sz="8" w:space="0" w:color="000000"/>
              <w:right w:val="single" w:sz="8" w:space="0" w:color="000000"/>
            </w:tcBorders>
            <w:shd w:val="clear" w:color="auto" w:fill="auto"/>
            <w:vAlign w:val="center"/>
          </w:tcPr>
          <w:p w14:paraId="17F90E93"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1.427.076</w:t>
            </w:r>
          </w:p>
        </w:tc>
        <w:tc>
          <w:tcPr>
            <w:tcW w:w="1181" w:type="dxa"/>
            <w:tcBorders>
              <w:top w:val="nil"/>
              <w:left w:val="nil"/>
              <w:bottom w:val="single" w:sz="8" w:space="0" w:color="000000"/>
              <w:right w:val="single" w:sz="8" w:space="0" w:color="000000"/>
            </w:tcBorders>
            <w:shd w:val="clear" w:color="auto" w:fill="auto"/>
            <w:vAlign w:val="center"/>
          </w:tcPr>
          <w:p w14:paraId="48B0E6D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700.202</w:t>
            </w:r>
          </w:p>
        </w:tc>
        <w:tc>
          <w:tcPr>
            <w:tcW w:w="1048" w:type="dxa"/>
            <w:tcBorders>
              <w:top w:val="nil"/>
              <w:left w:val="nil"/>
              <w:bottom w:val="single" w:sz="8" w:space="0" w:color="000000"/>
              <w:right w:val="single" w:sz="8" w:space="0" w:color="000000"/>
            </w:tcBorders>
            <w:shd w:val="clear" w:color="auto" w:fill="auto"/>
            <w:vAlign w:val="center"/>
          </w:tcPr>
          <w:p w14:paraId="4594538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726.874</w:t>
            </w:r>
          </w:p>
        </w:tc>
        <w:tc>
          <w:tcPr>
            <w:tcW w:w="1807" w:type="dxa"/>
            <w:tcBorders>
              <w:top w:val="nil"/>
              <w:left w:val="nil"/>
              <w:bottom w:val="single" w:sz="8" w:space="0" w:color="000000"/>
              <w:right w:val="single" w:sz="8" w:space="0" w:color="000000"/>
            </w:tcBorders>
            <w:shd w:val="clear" w:color="auto" w:fill="auto"/>
            <w:vAlign w:val="center"/>
          </w:tcPr>
          <w:p w14:paraId="6654DC7F"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72.687</w:t>
            </w:r>
          </w:p>
        </w:tc>
      </w:tr>
      <w:tr w:rsidR="00D779F6" w:rsidRPr="00491102" w14:paraId="4B02C59E" w14:textId="77777777">
        <w:trPr>
          <w:trHeight w:val="61"/>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576FDC81"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2017</w:t>
            </w:r>
          </w:p>
        </w:tc>
        <w:tc>
          <w:tcPr>
            <w:tcW w:w="1208" w:type="dxa"/>
            <w:tcBorders>
              <w:top w:val="nil"/>
              <w:left w:val="nil"/>
              <w:bottom w:val="single" w:sz="8" w:space="0" w:color="000000"/>
              <w:right w:val="single" w:sz="8" w:space="0" w:color="000000"/>
            </w:tcBorders>
            <w:shd w:val="clear" w:color="auto" w:fill="auto"/>
            <w:vAlign w:val="center"/>
          </w:tcPr>
          <w:p w14:paraId="796B24E4"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1.432.829</w:t>
            </w:r>
          </w:p>
        </w:tc>
        <w:tc>
          <w:tcPr>
            <w:tcW w:w="1181" w:type="dxa"/>
            <w:tcBorders>
              <w:top w:val="nil"/>
              <w:left w:val="nil"/>
              <w:bottom w:val="single" w:sz="8" w:space="0" w:color="000000"/>
              <w:right w:val="single" w:sz="8" w:space="0" w:color="000000"/>
            </w:tcBorders>
            <w:shd w:val="clear" w:color="auto" w:fill="auto"/>
            <w:vAlign w:val="center"/>
          </w:tcPr>
          <w:p w14:paraId="1E732B7A"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707.370</w:t>
            </w:r>
          </w:p>
        </w:tc>
        <w:tc>
          <w:tcPr>
            <w:tcW w:w="1048" w:type="dxa"/>
            <w:tcBorders>
              <w:top w:val="nil"/>
              <w:left w:val="nil"/>
              <w:bottom w:val="single" w:sz="8" w:space="0" w:color="000000"/>
              <w:right w:val="single" w:sz="8" w:space="0" w:color="000000"/>
            </w:tcBorders>
            <w:shd w:val="clear" w:color="auto" w:fill="auto"/>
            <w:vAlign w:val="center"/>
          </w:tcPr>
          <w:p w14:paraId="4357A97B"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725.459</w:t>
            </w:r>
          </w:p>
        </w:tc>
        <w:tc>
          <w:tcPr>
            <w:tcW w:w="1807" w:type="dxa"/>
            <w:tcBorders>
              <w:top w:val="nil"/>
              <w:left w:val="nil"/>
              <w:bottom w:val="single" w:sz="8" w:space="0" w:color="000000"/>
              <w:right w:val="single" w:sz="8" w:space="0" w:color="000000"/>
            </w:tcBorders>
            <w:shd w:val="clear" w:color="auto" w:fill="auto"/>
            <w:vAlign w:val="center"/>
          </w:tcPr>
          <w:p w14:paraId="150DBC70"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72.546</w:t>
            </w:r>
          </w:p>
        </w:tc>
      </w:tr>
      <w:tr w:rsidR="00D779F6" w:rsidRPr="00491102" w14:paraId="5ECE0EF7"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44640954"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2018</w:t>
            </w:r>
          </w:p>
        </w:tc>
        <w:tc>
          <w:tcPr>
            <w:tcW w:w="1208" w:type="dxa"/>
            <w:tcBorders>
              <w:top w:val="nil"/>
              <w:left w:val="nil"/>
              <w:bottom w:val="single" w:sz="8" w:space="0" w:color="000000"/>
              <w:right w:val="single" w:sz="8" w:space="0" w:color="000000"/>
            </w:tcBorders>
            <w:shd w:val="clear" w:color="auto" w:fill="auto"/>
            <w:vAlign w:val="center"/>
          </w:tcPr>
          <w:p w14:paraId="4CC6A791"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1.500.166</w:t>
            </w:r>
          </w:p>
        </w:tc>
        <w:tc>
          <w:tcPr>
            <w:tcW w:w="1181" w:type="dxa"/>
            <w:tcBorders>
              <w:top w:val="nil"/>
              <w:left w:val="nil"/>
              <w:bottom w:val="single" w:sz="8" w:space="0" w:color="000000"/>
              <w:right w:val="single" w:sz="8" w:space="0" w:color="000000"/>
            </w:tcBorders>
            <w:shd w:val="clear" w:color="auto" w:fill="auto"/>
            <w:vAlign w:val="center"/>
          </w:tcPr>
          <w:p w14:paraId="7C174D86"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713.413</w:t>
            </w:r>
          </w:p>
        </w:tc>
        <w:tc>
          <w:tcPr>
            <w:tcW w:w="1048" w:type="dxa"/>
            <w:tcBorders>
              <w:top w:val="nil"/>
              <w:left w:val="nil"/>
              <w:bottom w:val="single" w:sz="8" w:space="0" w:color="000000"/>
              <w:right w:val="single" w:sz="8" w:space="0" w:color="000000"/>
            </w:tcBorders>
            <w:shd w:val="clear" w:color="auto" w:fill="auto"/>
            <w:vAlign w:val="center"/>
          </w:tcPr>
          <w:p w14:paraId="25060471"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732.862</w:t>
            </w:r>
          </w:p>
        </w:tc>
        <w:tc>
          <w:tcPr>
            <w:tcW w:w="1807" w:type="dxa"/>
            <w:tcBorders>
              <w:top w:val="nil"/>
              <w:left w:val="nil"/>
              <w:bottom w:val="single" w:sz="8" w:space="0" w:color="000000"/>
              <w:right w:val="single" w:sz="8" w:space="0" w:color="000000"/>
            </w:tcBorders>
            <w:shd w:val="clear" w:color="auto" w:fill="auto"/>
            <w:vAlign w:val="center"/>
          </w:tcPr>
          <w:p w14:paraId="72E53924"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73.870</w:t>
            </w:r>
          </w:p>
        </w:tc>
      </w:tr>
      <w:tr w:rsidR="00D779F6" w:rsidRPr="00491102" w14:paraId="5178C1F4" w14:textId="77777777">
        <w:trPr>
          <w:trHeight w:val="222"/>
          <w:jc w:val="center"/>
        </w:trPr>
        <w:tc>
          <w:tcPr>
            <w:tcW w:w="877" w:type="dxa"/>
            <w:tcBorders>
              <w:top w:val="nil"/>
              <w:left w:val="single" w:sz="8" w:space="0" w:color="000000"/>
              <w:bottom w:val="single" w:sz="4" w:space="0" w:color="000000"/>
              <w:right w:val="single" w:sz="8" w:space="0" w:color="000000"/>
            </w:tcBorders>
            <w:shd w:val="clear" w:color="auto" w:fill="auto"/>
            <w:vAlign w:val="center"/>
          </w:tcPr>
          <w:p w14:paraId="2221015C"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2019</w:t>
            </w:r>
          </w:p>
        </w:tc>
        <w:tc>
          <w:tcPr>
            <w:tcW w:w="1208" w:type="dxa"/>
            <w:tcBorders>
              <w:top w:val="nil"/>
              <w:left w:val="nil"/>
              <w:bottom w:val="single" w:sz="4" w:space="0" w:color="000000"/>
              <w:right w:val="single" w:sz="8" w:space="0" w:color="000000"/>
            </w:tcBorders>
            <w:shd w:val="clear" w:color="auto" w:fill="auto"/>
            <w:vAlign w:val="center"/>
          </w:tcPr>
          <w:p w14:paraId="673DE1EA"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1.446.295</w:t>
            </w:r>
          </w:p>
        </w:tc>
        <w:tc>
          <w:tcPr>
            <w:tcW w:w="1181" w:type="dxa"/>
            <w:tcBorders>
              <w:top w:val="nil"/>
              <w:left w:val="nil"/>
              <w:bottom w:val="single" w:sz="4" w:space="0" w:color="000000"/>
              <w:right w:val="single" w:sz="8" w:space="0" w:color="000000"/>
            </w:tcBorders>
            <w:shd w:val="clear" w:color="auto" w:fill="auto"/>
            <w:vAlign w:val="center"/>
          </w:tcPr>
          <w:p w14:paraId="4C10B063"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742.023</w:t>
            </w:r>
          </w:p>
        </w:tc>
        <w:tc>
          <w:tcPr>
            <w:tcW w:w="1048" w:type="dxa"/>
            <w:tcBorders>
              <w:top w:val="nil"/>
              <w:left w:val="nil"/>
              <w:bottom w:val="single" w:sz="4" w:space="0" w:color="000000"/>
              <w:right w:val="single" w:sz="8" w:space="0" w:color="000000"/>
            </w:tcBorders>
            <w:shd w:val="clear" w:color="auto" w:fill="auto"/>
            <w:vAlign w:val="center"/>
          </w:tcPr>
          <w:p w14:paraId="374BB2C3"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758.143</w:t>
            </w:r>
          </w:p>
        </w:tc>
        <w:tc>
          <w:tcPr>
            <w:tcW w:w="1807" w:type="dxa"/>
            <w:tcBorders>
              <w:top w:val="nil"/>
              <w:left w:val="nil"/>
              <w:bottom w:val="single" w:sz="4" w:space="0" w:color="000000"/>
              <w:right w:val="single" w:sz="8" w:space="0" w:color="000000"/>
            </w:tcBorders>
            <w:shd w:val="clear" w:color="auto" w:fill="auto"/>
            <w:vAlign w:val="center"/>
          </w:tcPr>
          <w:p w14:paraId="6E15B2C9"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75.816</w:t>
            </w:r>
          </w:p>
        </w:tc>
      </w:tr>
      <w:tr w:rsidR="00D779F6" w:rsidRPr="00491102" w14:paraId="16F2FF68" w14:textId="77777777">
        <w:trPr>
          <w:trHeight w:val="222"/>
          <w:jc w:val="center"/>
        </w:trPr>
        <w:tc>
          <w:tcPr>
            <w:tcW w:w="877" w:type="dxa"/>
            <w:tcBorders>
              <w:top w:val="single" w:sz="4" w:space="0" w:color="000000"/>
              <w:left w:val="single" w:sz="8" w:space="0" w:color="000000"/>
              <w:bottom w:val="single" w:sz="8" w:space="0" w:color="000000"/>
              <w:right w:val="single" w:sz="8" w:space="0" w:color="000000"/>
            </w:tcBorders>
            <w:shd w:val="clear" w:color="auto" w:fill="auto"/>
            <w:vAlign w:val="center"/>
          </w:tcPr>
          <w:p w14:paraId="20B58E13"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2020</w:t>
            </w:r>
          </w:p>
        </w:tc>
        <w:tc>
          <w:tcPr>
            <w:tcW w:w="1208" w:type="dxa"/>
            <w:tcBorders>
              <w:top w:val="single" w:sz="4" w:space="0" w:color="000000"/>
              <w:left w:val="nil"/>
              <w:bottom w:val="single" w:sz="8" w:space="0" w:color="000000"/>
              <w:right w:val="single" w:sz="8" w:space="0" w:color="000000"/>
            </w:tcBorders>
            <w:shd w:val="clear" w:color="auto" w:fill="auto"/>
            <w:vAlign w:val="center"/>
          </w:tcPr>
          <w:p w14:paraId="70183FF9"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1.548.719</w:t>
            </w:r>
          </w:p>
        </w:tc>
        <w:tc>
          <w:tcPr>
            <w:tcW w:w="1181" w:type="dxa"/>
            <w:tcBorders>
              <w:top w:val="single" w:sz="4" w:space="0" w:color="000000"/>
              <w:left w:val="nil"/>
              <w:bottom w:val="single" w:sz="8" w:space="0" w:color="000000"/>
              <w:right w:val="single" w:sz="8" w:space="0" w:color="000000"/>
            </w:tcBorders>
            <w:shd w:val="clear" w:color="auto" w:fill="auto"/>
            <w:vAlign w:val="center"/>
          </w:tcPr>
          <w:p w14:paraId="6D5B21D3"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767.690</w:t>
            </w:r>
          </w:p>
        </w:tc>
        <w:tc>
          <w:tcPr>
            <w:tcW w:w="1048" w:type="dxa"/>
            <w:tcBorders>
              <w:top w:val="single" w:sz="4" w:space="0" w:color="000000"/>
              <w:left w:val="nil"/>
              <w:bottom w:val="single" w:sz="8" w:space="0" w:color="000000"/>
              <w:right w:val="single" w:sz="8" w:space="0" w:color="000000"/>
            </w:tcBorders>
            <w:shd w:val="clear" w:color="auto" w:fill="auto"/>
            <w:vAlign w:val="center"/>
          </w:tcPr>
          <w:p w14:paraId="5C2D8AEB"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781.029</w:t>
            </w:r>
          </w:p>
        </w:tc>
        <w:tc>
          <w:tcPr>
            <w:tcW w:w="1807" w:type="dxa"/>
            <w:tcBorders>
              <w:top w:val="single" w:sz="4" w:space="0" w:color="000000"/>
              <w:left w:val="nil"/>
              <w:bottom w:val="single" w:sz="8" w:space="0" w:color="000000"/>
              <w:right w:val="single" w:sz="8" w:space="0" w:color="000000"/>
            </w:tcBorders>
            <w:shd w:val="clear" w:color="auto" w:fill="auto"/>
            <w:vAlign w:val="center"/>
          </w:tcPr>
          <w:p w14:paraId="5A374F88"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78.103</w:t>
            </w:r>
          </w:p>
        </w:tc>
      </w:tr>
      <w:tr w:rsidR="00D779F6" w:rsidRPr="00491102" w14:paraId="1DDB5C34"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033CFAF2"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2021</w:t>
            </w:r>
          </w:p>
        </w:tc>
        <w:tc>
          <w:tcPr>
            <w:tcW w:w="1208" w:type="dxa"/>
            <w:tcBorders>
              <w:top w:val="nil"/>
              <w:left w:val="nil"/>
              <w:bottom w:val="single" w:sz="8" w:space="0" w:color="000000"/>
              <w:right w:val="single" w:sz="8" w:space="0" w:color="000000"/>
            </w:tcBorders>
            <w:shd w:val="clear" w:color="auto" w:fill="auto"/>
            <w:vAlign w:val="center"/>
          </w:tcPr>
          <w:p w14:paraId="5573D84D"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1.582.189</w:t>
            </w:r>
          </w:p>
        </w:tc>
        <w:tc>
          <w:tcPr>
            <w:tcW w:w="1181" w:type="dxa"/>
            <w:tcBorders>
              <w:top w:val="nil"/>
              <w:left w:val="nil"/>
              <w:bottom w:val="single" w:sz="8" w:space="0" w:color="000000"/>
              <w:right w:val="single" w:sz="8" w:space="0" w:color="000000"/>
            </w:tcBorders>
            <w:shd w:val="clear" w:color="auto" w:fill="auto"/>
            <w:vAlign w:val="center"/>
          </w:tcPr>
          <w:p w14:paraId="583DD944"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785.435</w:t>
            </w:r>
          </w:p>
        </w:tc>
        <w:tc>
          <w:tcPr>
            <w:tcW w:w="1048" w:type="dxa"/>
            <w:tcBorders>
              <w:top w:val="nil"/>
              <w:left w:val="nil"/>
              <w:bottom w:val="single" w:sz="8" w:space="0" w:color="000000"/>
              <w:right w:val="single" w:sz="8" w:space="0" w:color="000000"/>
            </w:tcBorders>
            <w:shd w:val="clear" w:color="auto" w:fill="auto"/>
            <w:vAlign w:val="center"/>
          </w:tcPr>
          <w:p w14:paraId="57C4E7A2"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796.754</w:t>
            </w:r>
          </w:p>
        </w:tc>
        <w:tc>
          <w:tcPr>
            <w:tcW w:w="1807" w:type="dxa"/>
            <w:tcBorders>
              <w:top w:val="nil"/>
              <w:left w:val="nil"/>
              <w:bottom w:val="single" w:sz="8" w:space="0" w:color="000000"/>
              <w:right w:val="single" w:sz="8" w:space="0" w:color="000000"/>
            </w:tcBorders>
            <w:shd w:val="clear" w:color="auto" w:fill="auto"/>
            <w:vAlign w:val="center"/>
          </w:tcPr>
          <w:p w14:paraId="37F71B34"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79.676</w:t>
            </w:r>
          </w:p>
        </w:tc>
      </w:tr>
      <w:tr w:rsidR="00D779F6" w:rsidRPr="00491102" w14:paraId="10FF74E2" w14:textId="77777777">
        <w:trPr>
          <w:trHeight w:val="222"/>
          <w:jc w:val="center"/>
        </w:trPr>
        <w:tc>
          <w:tcPr>
            <w:tcW w:w="877" w:type="dxa"/>
            <w:tcBorders>
              <w:top w:val="nil"/>
              <w:left w:val="single" w:sz="8" w:space="0" w:color="000000"/>
              <w:bottom w:val="single" w:sz="8" w:space="0" w:color="000000"/>
              <w:right w:val="single" w:sz="8" w:space="0" w:color="000000"/>
            </w:tcBorders>
            <w:shd w:val="clear" w:color="auto" w:fill="auto"/>
            <w:vAlign w:val="center"/>
          </w:tcPr>
          <w:p w14:paraId="036D0738"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2022</w:t>
            </w:r>
          </w:p>
        </w:tc>
        <w:tc>
          <w:tcPr>
            <w:tcW w:w="1208" w:type="dxa"/>
            <w:tcBorders>
              <w:top w:val="nil"/>
              <w:left w:val="nil"/>
              <w:bottom w:val="single" w:sz="8" w:space="0" w:color="000000"/>
              <w:right w:val="single" w:sz="8" w:space="0" w:color="000000"/>
            </w:tcBorders>
            <w:shd w:val="clear" w:color="auto" w:fill="auto"/>
            <w:vAlign w:val="center"/>
          </w:tcPr>
          <w:p w14:paraId="08BA9809" w14:textId="77777777" w:rsidR="00D779F6" w:rsidRPr="00491102" w:rsidRDefault="00300AB1">
            <w:pPr>
              <w:jc w:val="center"/>
              <w:rPr>
                <w:rFonts w:ascii="Arial" w:eastAsia="Arial" w:hAnsi="Arial" w:cs="Arial"/>
                <w:b/>
                <w:color w:val="000000"/>
              </w:rPr>
            </w:pPr>
            <w:r w:rsidRPr="00491102">
              <w:rPr>
                <w:rFonts w:ascii="Arial" w:eastAsia="Arial" w:hAnsi="Arial" w:cs="Arial"/>
                <w:b/>
                <w:color w:val="000000"/>
              </w:rPr>
              <w:t>1.605.298</w:t>
            </w:r>
          </w:p>
        </w:tc>
        <w:tc>
          <w:tcPr>
            <w:tcW w:w="1181" w:type="dxa"/>
            <w:tcBorders>
              <w:top w:val="nil"/>
              <w:left w:val="nil"/>
              <w:bottom w:val="single" w:sz="8" w:space="0" w:color="000000"/>
              <w:right w:val="single" w:sz="8" w:space="0" w:color="000000"/>
            </w:tcBorders>
            <w:shd w:val="clear" w:color="auto" w:fill="auto"/>
            <w:vAlign w:val="center"/>
          </w:tcPr>
          <w:p w14:paraId="7967369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797.861</w:t>
            </w:r>
          </w:p>
        </w:tc>
        <w:tc>
          <w:tcPr>
            <w:tcW w:w="1048" w:type="dxa"/>
            <w:tcBorders>
              <w:top w:val="nil"/>
              <w:left w:val="nil"/>
              <w:bottom w:val="single" w:sz="8" w:space="0" w:color="000000"/>
              <w:right w:val="single" w:sz="8" w:space="0" w:color="000000"/>
            </w:tcBorders>
            <w:shd w:val="clear" w:color="auto" w:fill="auto"/>
            <w:vAlign w:val="center"/>
          </w:tcPr>
          <w:p w14:paraId="07A5DD81"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807.437</w:t>
            </w:r>
          </w:p>
        </w:tc>
        <w:tc>
          <w:tcPr>
            <w:tcW w:w="1807" w:type="dxa"/>
            <w:tcBorders>
              <w:top w:val="nil"/>
              <w:left w:val="nil"/>
              <w:bottom w:val="single" w:sz="8" w:space="0" w:color="000000"/>
              <w:right w:val="single" w:sz="8" w:space="0" w:color="000000"/>
            </w:tcBorders>
            <w:shd w:val="clear" w:color="auto" w:fill="auto"/>
            <w:vAlign w:val="center"/>
          </w:tcPr>
          <w:p w14:paraId="012F5C95" w14:textId="77777777" w:rsidR="00D779F6" w:rsidRPr="00491102" w:rsidRDefault="00300AB1">
            <w:pPr>
              <w:jc w:val="center"/>
              <w:rPr>
                <w:rFonts w:ascii="Arial" w:eastAsia="Arial" w:hAnsi="Arial" w:cs="Arial"/>
                <w:color w:val="000000"/>
              </w:rPr>
            </w:pPr>
            <w:r w:rsidRPr="00491102">
              <w:rPr>
                <w:rFonts w:ascii="Arial" w:eastAsia="Arial" w:hAnsi="Arial" w:cs="Arial"/>
                <w:color w:val="000000"/>
              </w:rPr>
              <w:t>80.745</w:t>
            </w:r>
          </w:p>
        </w:tc>
      </w:tr>
    </w:tbl>
    <w:p w14:paraId="3333B0C9" w14:textId="77777777" w:rsidR="00D779F6" w:rsidRPr="00A12BE0" w:rsidRDefault="00300AB1">
      <w:pPr>
        <w:tabs>
          <w:tab w:val="left" w:pos="2235"/>
        </w:tabs>
        <w:jc w:val="both"/>
        <w:rPr>
          <w:rFonts w:ascii="Arial" w:eastAsia="Arial" w:hAnsi="Arial" w:cs="Arial"/>
          <w:color w:val="000000"/>
          <w:sz w:val="16"/>
          <w:szCs w:val="16"/>
        </w:rPr>
      </w:pPr>
      <w:r w:rsidRPr="00A12BE0">
        <w:rPr>
          <w:rFonts w:ascii="Arial" w:eastAsia="Arial" w:hAnsi="Arial" w:cs="Arial"/>
          <w:color w:val="000000"/>
          <w:sz w:val="16"/>
          <w:szCs w:val="16"/>
        </w:rPr>
        <w:t>Fuente: DANE.</w:t>
      </w:r>
    </w:p>
    <w:p w14:paraId="6111D437" w14:textId="77777777" w:rsidR="00D779F6" w:rsidRPr="00491102" w:rsidRDefault="00300AB1">
      <w:pPr>
        <w:jc w:val="both"/>
        <w:rPr>
          <w:rFonts w:ascii="Arial" w:eastAsia="Arial" w:hAnsi="Arial" w:cs="Arial"/>
          <w:color w:val="000000"/>
          <w:highlight w:val="white"/>
        </w:rPr>
      </w:pPr>
      <w:r w:rsidRPr="00491102">
        <w:rPr>
          <w:rFonts w:ascii="Arial" w:eastAsia="Arial" w:hAnsi="Arial" w:cs="Arial"/>
          <w:color w:val="000000"/>
          <w:highlight w:val="white"/>
        </w:rPr>
        <w:t xml:space="preserve">Sobre lo anterior el Congreso de la </w:t>
      </w:r>
      <w:r w:rsidRPr="00491102">
        <w:rPr>
          <w:rFonts w:ascii="Arial" w:eastAsia="Arial" w:hAnsi="Arial" w:cs="Arial"/>
          <w:highlight w:val="white"/>
        </w:rPr>
        <w:t>República</w:t>
      </w:r>
      <w:r w:rsidRPr="00491102">
        <w:rPr>
          <w:rFonts w:ascii="Arial" w:eastAsia="Arial" w:hAnsi="Arial" w:cs="Arial"/>
          <w:color w:val="000000"/>
          <w:highlight w:val="white"/>
        </w:rPr>
        <w:t xml:space="preserve"> expidió la Ley 2338 de 2023 que tiene por objeto establecer los principios, contenidos y disposiciones de la política pública de prevención, acceso completo a la detección, diagnóstico temprano, estudios, control, tratamiento y terapias necesarias para el abordaje integral de la endometriosis y garantizar el derecho a la salud de las personas con diagnóstico o presunción de endometriosis, así como la concientización de la población.</w:t>
      </w:r>
    </w:p>
    <w:p w14:paraId="0407253A" w14:textId="77777777" w:rsidR="00D779F6" w:rsidRPr="00491102" w:rsidRDefault="00300AB1">
      <w:pPr>
        <w:jc w:val="both"/>
        <w:rPr>
          <w:rFonts w:ascii="Arial" w:eastAsia="Arial" w:hAnsi="Arial" w:cs="Arial"/>
          <w:color w:val="000000"/>
          <w:highlight w:val="white"/>
        </w:rPr>
      </w:pPr>
      <w:r w:rsidRPr="00491102">
        <w:rPr>
          <w:rFonts w:ascii="Arial" w:eastAsia="Arial" w:hAnsi="Arial" w:cs="Arial"/>
          <w:color w:val="000000"/>
          <w:highlight w:val="white"/>
        </w:rPr>
        <w:t xml:space="preserve">Sobre la necesidad y posibilidad de implementar la política pública y demás disposiciones de la referida Ley en el distrito, el artículo cuarto (4) de la Ley menciona: </w:t>
      </w:r>
    </w:p>
    <w:p w14:paraId="212BD8C5" w14:textId="77777777" w:rsidR="00D779F6" w:rsidRPr="00491102" w:rsidRDefault="00300AB1" w:rsidP="001E5B1F">
      <w:pPr>
        <w:ind w:left="720"/>
        <w:jc w:val="both"/>
        <w:rPr>
          <w:rFonts w:ascii="Arial" w:eastAsia="Arial" w:hAnsi="Arial" w:cs="Arial"/>
          <w:i/>
          <w:color w:val="000000"/>
          <w:highlight w:val="white"/>
        </w:rPr>
      </w:pPr>
      <w:bookmarkStart w:id="1" w:name="_heading=h.1fob9te" w:colFirst="0" w:colLast="0"/>
      <w:bookmarkEnd w:id="1"/>
      <w:r w:rsidRPr="00491102">
        <w:rPr>
          <w:rFonts w:ascii="Arial" w:eastAsia="Arial" w:hAnsi="Arial" w:cs="Arial"/>
          <w:color w:val="000000"/>
          <w:highlight w:val="white"/>
        </w:rPr>
        <w:t>“</w:t>
      </w:r>
      <w:r w:rsidRPr="00491102">
        <w:rPr>
          <w:rFonts w:ascii="Arial" w:eastAsia="Arial" w:hAnsi="Arial" w:cs="Arial"/>
          <w:b/>
          <w:i/>
          <w:color w:val="000000"/>
          <w:highlight w:val="white"/>
        </w:rPr>
        <w:t xml:space="preserve">ARTÍCULO.4º </w:t>
      </w:r>
      <w:r w:rsidRPr="00491102">
        <w:rPr>
          <w:rFonts w:ascii="Arial" w:eastAsia="Arial" w:hAnsi="Arial" w:cs="Arial"/>
          <w:i/>
          <w:color w:val="000000"/>
          <w:highlight w:val="white"/>
        </w:rPr>
        <w:t xml:space="preserve">De la política pública de abordaje integral de la endometriosis y reglamentación. </w:t>
      </w:r>
    </w:p>
    <w:p w14:paraId="2A27C7F9" w14:textId="77777777" w:rsidR="00D779F6" w:rsidRPr="00491102" w:rsidRDefault="00300AB1" w:rsidP="001E5B1F">
      <w:pPr>
        <w:ind w:left="720"/>
        <w:jc w:val="both"/>
        <w:rPr>
          <w:rFonts w:ascii="Arial" w:eastAsia="Arial" w:hAnsi="Arial" w:cs="Arial"/>
          <w:i/>
          <w:color w:val="000000"/>
          <w:highlight w:val="white"/>
        </w:rPr>
      </w:pPr>
      <w:r w:rsidRPr="00491102">
        <w:rPr>
          <w:rFonts w:ascii="Arial" w:eastAsia="Arial" w:hAnsi="Arial" w:cs="Arial"/>
          <w:i/>
          <w:color w:val="000000"/>
          <w:highlight w:val="white"/>
        </w:rPr>
        <w:t>“…</w:t>
      </w:r>
      <w:r w:rsidRPr="00491102">
        <w:rPr>
          <w:rFonts w:ascii="Arial" w:eastAsia="Arial" w:hAnsi="Arial" w:cs="Arial"/>
          <w:i/>
          <w:color w:val="000000"/>
          <w:highlight w:val="white"/>
          <w:u w:val="single"/>
        </w:rPr>
        <w:t>Todas las entidades públicas</w:t>
      </w:r>
      <w:r w:rsidRPr="00491102">
        <w:rPr>
          <w:rFonts w:ascii="Arial" w:eastAsia="Arial" w:hAnsi="Arial" w:cs="Arial"/>
          <w:i/>
          <w:color w:val="000000"/>
          <w:highlight w:val="white"/>
        </w:rPr>
        <w:t xml:space="preserve"> del orden nacional, departamental, municipal </w:t>
      </w:r>
      <w:r w:rsidRPr="00491102">
        <w:rPr>
          <w:rFonts w:ascii="Arial" w:eastAsia="Arial" w:hAnsi="Arial" w:cs="Arial"/>
          <w:i/>
          <w:color w:val="000000"/>
          <w:highlight w:val="white"/>
          <w:u w:val="single"/>
        </w:rPr>
        <w:t>y distrital</w:t>
      </w:r>
      <w:r w:rsidRPr="00491102">
        <w:rPr>
          <w:rFonts w:ascii="Arial" w:eastAsia="Arial" w:hAnsi="Arial" w:cs="Arial"/>
          <w:i/>
          <w:color w:val="000000"/>
          <w:highlight w:val="white"/>
        </w:rPr>
        <w:t xml:space="preserve">, (…), </w:t>
      </w:r>
      <w:r w:rsidRPr="00491102">
        <w:rPr>
          <w:rFonts w:ascii="Arial" w:eastAsia="Arial" w:hAnsi="Arial" w:cs="Arial"/>
          <w:i/>
          <w:color w:val="000000"/>
          <w:highlight w:val="white"/>
          <w:u w:val="single"/>
        </w:rPr>
        <w:t>podrán participar de la elaboración de planes, programas y proyectos derivados de la presente ley, para promover la salud y el bienestar de las mujeres con endometriosis, a fin de prevenir mayores afectaciones a su salud y contribuir al tratamiento físico, mental y social de estas</w:t>
      </w:r>
      <w:r w:rsidRPr="00491102">
        <w:rPr>
          <w:rFonts w:ascii="Arial" w:eastAsia="Arial" w:hAnsi="Arial" w:cs="Arial"/>
          <w:i/>
          <w:color w:val="000000"/>
          <w:highlight w:val="white"/>
        </w:rPr>
        <w:t>, así como a la formulación de la política pública y su reglamentación por parte del Ministerio de Salud y Protección Social o quien haga sus veces, el cual establecerá los mecanismos efectivos y permanentes de participación.”</w:t>
      </w:r>
    </w:p>
    <w:p w14:paraId="532F5D18" w14:textId="77777777" w:rsidR="00491102" w:rsidRPr="00491102" w:rsidRDefault="00300AB1">
      <w:pPr>
        <w:jc w:val="both"/>
        <w:rPr>
          <w:rFonts w:ascii="Arial" w:eastAsia="Arial" w:hAnsi="Arial" w:cs="Arial"/>
          <w:color w:val="000000"/>
        </w:rPr>
      </w:pPr>
      <w:r w:rsidRPr="00491102">
        <w:rPr>
          <w:rFonts w:ascii="Arial" w:eastAsia="Arial" w:hAnsi="Arial" w:cs="Arial"/>
          <w:color w:val="000000"/>
        </w:rPr>
        <w:t>A pesar de que formalmente aún no se ha presentado la política pública de abordaje integral de la endometriosis y su reglamentación por parte del Ministerio de Salud y Protección Social, resulta necesario adoptar los mandatos que ya la mencionada Ley dispone</w:t>
      </w:r>
      <w:r w:rsidR="001E5B1F" w:rsidRPr="00491102">
        <w:rPr>
          <w:rFonts w:ascii="Arial" w:eastAsia="Arial" w:hAnsi="Arial" w:cs="Arial"/>
          <w:color w:val="000000"/>
        </w:rPr>
        <w:t xml:space="preserve">, así como abordar de manera integral </w:t>
      </w:r>
      <w:r w:rsidR="00C54CF2" w:rsidRPr="00491102">
        <w:rPr>
          <w:rFonts w:ascii="Arial" w:eastAsia="Arial" w:hAnsi="Arial" w:cs="Arial"/>
          <w:color w:val="000000"/>
        </w:rPr>
        <w:t xml:space="preserve">las acciones tendientes a identificarla y tratarla desde la Administración Distrital. </w:t>
      </w:r>
      <w:r w:rsidR="001E5B1F" w:rsidRPr="00491102">
        <w:rPr>
          <w:rFonts w:ascii="Arial" w:eastAsia="Arial" w:hAnsi="Arial" w:cs="Arial"/>
          <w:color w:val="000000"/>
        </w:rPr>
        <w:t xml:space="preserve"> </w:t>
      </w:r>
    </w:p>
    <w:p w14:paraId="5B13400D" w14:textId="77777777" w:rsidR="00491102" w:rsidRDefault="00491102" w:rsidP="00491102">
      <w:pPr>
        <w:pStyle w:val="Sinespaciado"/>
        <w:rPr>
          <w:rFonts w:ascii="Arial" w:eastAsia="Arial" w:hAnsi="Arial" w:cs="Arial"/>
          <w:b/>
          <w:sz w:val="22"/>
          <w:szCs w:val="22"/>
        </w:rPr>
      </w:pPr>
    </w:p>
    <w:p w14:paraId="0C8D26DD" w14:textId="77777777" w:rsidR="00491102" w:rsidRDefault="00491102" w:rsidP="00491102">
      <w:pPr>
        <w:pStyle w:val="Sinespaciado"/>
        <w:rPr>
          <w:rFonts w:ascii="Arial" w:eastAsia="Arial" w:hAnsi="Arial" w:cs="Arial"/>
          <w:b/>
          <w:sz w:val="22"/>
          <w:szCs w:val="22"/>
        </w:rPr>
      </w:pPr>
      <w:r w:rsidRPr="00491102">
        <w:rPr>
          <w:rFonts w:ascii="Arial" w:eastAsia="Arial" w:hAnsi="Arial" w:cs="Arial"/>
          <w:b/>
          <w:sz w:val="22"/>
          <w:szCs w:val="22"/>
        </w:rPr>
        <w:t>Plan de Desarrollo Bogotá Camina Segura</w:t>
      </w:r>
    </w:p>
    <w:p w14:paraId="1E18B498" w14:textId="77777777" w:rsidR="00491102" w:rsidRDefault="00491102" w:rsidP="00491102">
      <w:pPr>
        <w:pStyle w:val="Sinespaciado"/>
        <w:rPr>
          <w:rFonts w:ascii="Arial" w:eastAsia="Arial" w:hAnsi="Arial" w:cs="Arial"/>
          <w:b/>
          <w:sz w:val="22"/>
          <w:szCs w:val="22"/>
        </w:rPr>
      </w:pPr>
    </w:p>
    <w:p w14:paraId="34D4E98F" w14:textId="77777777" w:rsidR="007B007D" w:rsidRDefault="00491102" w:rsidP="00A12BE0">
      <w:pPr>
        <w:pStyle w:val="Sinespaciado"/>
        <w:jc w:val="both"/>
        <w:rPr>
          <w:rFonts w:ascii="Arial" w:eastAsia="Arial" w:hAnsi="Arial" w:cs="Arial"/>
          <w:sz w:val="22"/>
          <w:szCs w:val="22"/>
        </w:rPr>
      </w:pPr>
      <w:r w:rsidRPr="00491102">
        <w:rPr>
          <w:rFonts w:ascii="Arial" w:eastAsia="Arial" w:hAnsi="Arial" w:cs="Arial"/>
          <w:sz w:val="22"/>
          <w:szCs w:val="22"/>
        </w:rPr>
        <w:t xml:space="preserve">Este Proyecto de Acuerdo </w:t>
      </w:r>
      <w:r w:rsidR="00A12BE0">
        <w:rPr>
          <w:rFonts w:ascii="Arial" w:eastAsia="Arial" w:hAnsi="Arial" w:cs="Arial"/>
          <w:sz w:val="22"/>
          <w:szCs w:val="22"/>
        </w:rPr>
        <w:t xml:space="preserve">va </w:t>
      </w:r>
      <w:r w:rsidRPr="00491102">
        <w:rPr>
          <w:rFonts w:ascii="Arial" w:eastAsia="Arial" w:hAnsi="Arial" w:cs="Arial"/>
          <w:sz w:val="22"/>
          <w:szCs w:val="22"/>
        </w:rPr>
        <w:t xml:space="preserve">en consonancia con el Objetivo 2 </w:t>
      </w:r>
      <w:r w:rsidRPr="00A12BE0">
        <w:rPr>
          <w:rFonts w:ascii="Arial" w:eastAsia="Arial" w:hAnsi="Arial" w:cs="Arial"/>
          <w:i/>
          <w:sz w:val="22"/>
          <w:szCs w:val="22"/>
        </w:rPr>
        <w:t>“Bogotá Confía en su Bienestar”</w:t>
      </w:r>
      <w:r>
        <w:rPr>
          <w:rFonts w:ascii="Arial" w:eastAsia="Arial" w:hAnsi="Arial" w:cs="Arial"/>
          <w:sz w:val="22"/>
          <w:szCs w:val="22"/>
        </w:rPr>
        <w:t xml:space="preserve"> </w:t>
      </w:r>
      <w:r w:rsidR="007B007D">
        <w:rPr>
          <w:rFonts w:ascii="Arial" w:eastAsia="Arial" w:hAnsi="Arial" w:cs="Arial"/>
          <w:sz w:val="22"/>
          <w:szCs w:val="22"/>
        </w:rPr>
        <w:t xml:space="preserve">del Plan de Desarrollo presentado por la administración distrital. Este objetivo </w:t>
      </w:r>
      <w:r>
        <w:rPr>
          <w:rFonts w:ascii="Arial" w:eastAsia="Arial" w:hAnsi="Arial" w:cs="Arial"/>
          <w:sz w:val="22"/>
          <w:szCs w:val="22"/>
        </w:rPr>
        <w:t xml:space="preserve">habla sobre </w:t>
      </w:r>
      <w:r w:rsidR="007B007D">
        <w:rPr>
          <w:rFonts w:ascii="Arial" w:eastAsia="Arial" w:hAnsi="Arial" w:cs="Arial"/>
          <w:sz w:val="22"/>
          <w:szCs w:val="22"/>
        </w:rPr>
        <w:t>la priorización de la salud; d</w:t>
      </w:r>
      <w:r w:rsidR="00A12BE0">
        <w:rPr>
          <w:rFonts w:ascii="Arial" w:eastAsia="Arial" w:hAnsi="Arial" w:cs="Arial"/>
          <w:sz w:val="22"/>
          <w:szCs w:val="22"/>
        </w:rPr>
        <w:t xml:space="preserve">esarrollando a su vez </w:t>
      </w:r>
      <w:r>
        <w:rPr>
          <w:rFonts w:ascii="Arial" w:eastAsia="Arial" w:hAnsi="Arial" w:cs="Arial"/>
          <w:sz w:val="22"/>
          <w:szCs w:val="22"/>
        </w:rPr>
        <w:t>los programas</w:t>
      </w:r>
      <w:r w:rsidR="00A12BE0">
        <w:rPr>
          <w:rFonts w:ascii="Arial" w:eastAsia="Arial" w:hAnsi="Arial" w:cs="Arial"/>
          <w:sz w:val="22"/>
          <w:szCs w:val="22"/>
        </w:rPr>
        <w:t xml:space="preserve"> que tienen que ver con la “Salud Pública integrada e integral” y la “Salud con calidad y en el territorio”.</w:t>
      </w:r>
    </w:p>
    <w:p w14:paraId="6710F195" w14:textId="77777777" w:rsidR="007B007D" w:rsidRDefault="007B007D" w:rsidP="00A12BE0">
      <w:pPr>
        <w:pStyle w:val="Sinespaciado"/>
        <w:jc w:val="both"/>
        <w:rPr>
          <w:rFonts w:ascii="Arial" w:eastAsia="Arial" w:hAnsi="Arial" w:cs="Arial"/>
          <w:sz w:val="22"/>
          <w:szCs w:val="22"/>
        </w:rPr>
      </w:pPr>
    </w:p>
    <w:p w14:paraId="1010CAC8" w14:textId="77777777" w:rsidR="00491102" w:rsidRPr="00491102" w:rsidRDefault="007B007D" w:rsidP="00A12BE0">
      <w:pPr>
        <w:pStyle w:val="Sinespaciado"/>
        <w:jc w:val="both"/>
        <w:rPr>
          <w:rFonts w:ascii="Arial" w:eastAsia="Arial" w:hAnsi="Arial" w:cs="Arial"/>
          <w:sz w:val="22"/>
          <w:szCs w:val="22"/>
        </w:rPr>
      </w:pPr>
      <w:r>
        <w:rPr>
          <w:rFonts w:ascii="Arial" w:eastAsia="Arial" w:hAnsi="Arial" w:cs="Arial"/>
          <w:sz w:val="22"/>
          <w:szCs w:val="22"/>
        </w:rPr>
        <w:t xml:space="preserve">Por consiguiente, se entiende que el Proyecto de Acuerdo presentado esta ajustado al Plan de Desarrollo distrital. </w:t>
      </w:r>
      <w:r w:rsidR="00A12BE0">
        <w:rPr>
          <w:rFonts w:ascii="Arial" w:eastAsia="Arial" w:hAnsi="Arial" w:cs="Arial"/>
          <w:sz w:val="22"/>
          <w:szCs w:val="22"/>
        </w:rPr>
        <w:t xml:space="preserve"> </w:t>
      </w:r>
      <w:r w:rsidR="00491102">
        <w:rPr>
          <w:rFonts w:ascii="Arial" w:eastAsia="Arial" w:hAnsi="Arial" w:cs="Arial"/>
          <w:sz w:val="22"/>
          <w:szCs w:val="22"/>
        </w:rPr>
        <w:t xml:space="preserve"> </w:t>
      </w:r>
      <w:r w:rsidR="00491102" w:rsidRPr="00491102">
        <w:rPr>
          <w:rFonts w:ascii="Arial" w:eastAsia="Arial" w:hAnsi="Arial" w:cs="Arial"/>
          <w:sz w:val="22"/>
          <w:szCs w:val="22"/>
        </w:rPr>
        <w:t xml:space="preserve"> </w:t>
      </w:r>
    </w:p>
    <w:p w14:paraId="6F40127A" w14:textId="77777777" w:rsidR="00491102" w:rsidRDefault="00491102" w:rsidP="00491102">
      <w:pPr>
        <w:pStyle w:val="Sinespaciado"/>
        <w:rPr>
          <w:rFonts w:ascii="Arial" w:eastAsia="Arial" w:hAnsi="Arial" w:cs="Arial"/>
          <w:b/>
          <w:sz w:val="22"/>
          <w:szCs w:val="22"/>
        </w:rPr>
      </w:pPr>
    </w:p>
    <w:p w14:paraId="0811B887" w14:textId="77777777" w:rsidR="00A12BE0" w:rsidRDefault="00A12BE0" w:rsidP="00491102">
      <w:pPr>
        <w:pStyle w:val="Sinespaciado"/>
        <w:rPr>
          <w:rFonts w:ascii="Arial" w:eastAsia="Arial" w:hAnsi="Arial" w:cs="Arial"/>
          <w:b/>
          <w:sz w:val="22"/>
          <w:szCs w:val="22"/>
        </w:rPr>
      </w:pPr>
    </w:p>
    <w:p w14:paraId="2AE0BD3B" w14:textId="77777777" w:rsidR="00A12BE0" w:rsidRDefault="00A12BE0" w:rsidP="00491102">
      <w:pPr>
        <w:pStyle w:val="Sinespaciado"/>
        <w:rPr>
          <w:rFonts w:ascii="Arial" w:eastAsia="Arial" w:hAnsi="Arial" w:cs="Arial"/>
          <w:b/>
          <w:sz w:val="22"/>
          <w:szCs w:val="22"/>
        </w:rPr>
      </w:pPr>
    </w:p>
    <w:p w14:paraId="0AC83E07" w14:textId="77777777" w:rsidR="00A12BE0" w:rsidRDefault="00A12BE0" w:rsidP="00491102">
      <w:pPr>
        <w:pStyle w:val="Sinespaciado"/>
        <w:rPr>
          <w:rFonts w:ascii="Arial" w:eastAsia="Arial" w:hAnsi="Arial" w:cs="Arial"/>
          <w:b/>
          <w:sz w:val="22"/>
          <w:szCs w:val="22"/>
        </w:rPr>
      </w:pPr>
    </w:p>
    <w:p w14:paraId="3F0051DC" w14:textId="77777777" w:rsidR="00A12BE0" w:rsidRPr="00491102" w:rsidRDefault="00A12BE0" w:rsidP="00491102">
      <w:pPr>
        <w:pStyle w:val="Sinespaciado"/>
        <w:rPr>
          <w:rFonts w:ascii="Arial" w:eastAsia="Arial" w:hAnsi="Arial" w:cs="Arial"/>
          <w:b/>
          <w:sz w:val="22"/>
          <w:szCs w:val="22"/>
        </w:rPr>
      </w:pPr>
    </w:p>
    <w:p w14:paraId="0A512B0F" w14:textId="77777777" w:rsidR="00D779F6" w:rsidRPr="00491102" w:rsidRDefault="00300AB1" w:rsidP="00491102">
      <w:pPr>
        <w:numPr>
          <w:ilvl w:val="0"/>
          <w:numId w:val="6"/>
        </w:num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b/>
          <w:color w:val="000000"/>
        </w:rPr>
        <w:t xml:space="preserve">MARCO JURÍDICO Y COMPETENCIA DEL CONCEJO DE </w:t>
      </w:r>
      <w:r w:rsidRPr="00491102">
        <w:rPr>
          <w:rFonts w:ascii="Arial" w:eastAsia="Arial" w:hAnsi="Arial" w:cs="Arial"/>
          <w:b/>
        </w:rPr>
        <w:t>BOGOTÁ</w:t>
      </w:r>
      <w:r w:rsidRPr="00491102">
        <w:rPr>
          <w:rFonts w:ascii="Arial" w:eastAsia="Arial" w:hAnsi="Arial" w:cs="Arial"/>
          <w:b/>
          <w:color w:val="000000"/>
        </w:rPr>
        <w:t xml:space="preserve"> </w:t>
      </w:r>
    </w:p>
    <w:p w14:paraId="66ED9286" w14:textId="77777777" w:rsidR="00D779F6" w:rsidRPr="00491102" w:rsidRDefault="00300AB1">
      <w:pPr>
        <w:spacing w:before="240" w:after="240" w:line="240" w:lineRule="auto"/>
        <w:jc w:val="both"/>
        <w:rPr>
          <w:rFonts w:ascii="Arial" w:eastAsia="Arial" w:hAnsi="Arial" w:cs="Arial"/>
          <w:b/>
        </w:rPr>
      </w:pPr>
      <w:r w:rsidRPr="00491102">
        <w:rPr>
          <w:rFonts w:ascii="Arial" w:eastAsia="Arial" w:hAnsi="Arial" w:cs="Arial"/>
          <w:b/>
        </w:rPr>
        <w:t>Constitución Política:</w:t>
      </w:r>
    </w:p>
    <w:p w14:paraId="431B01BC" w14:textId="77777777" w:rsidR="00D779F6" w:rsidRPr="00491102" w:rsidRDefault="00300AB1">
      <w:pPr>
        <w:spacing w:after="200" w:line="240" w:lineRule="auto"/>
        <w:ind w:left="1640" w:right="160" w:hanging="700"/>
        <w:jc w:val="both"/>
        <w:rPr>
          <w:rFonts w:ascii="Arial" w:eastAsia="Arial" w:hAnsi="Arial" w:cs="Arial"/>
        </w:rPr>
      </w:pPr>
      <w:r w:rsidRPr="00491102">
        <w:rPr>
          <w:rFonts w:ascii="Arial" w:eastAsia="Arial" w:hAnsi="Arial" w:cs="Arial"/>
          <w:b/>
        </w:rPr>
        <w:t xml:space="preserve">Artículo 313. </w:t>
      </w:r>
      <w:r w:rsidRPr="00491102">
        <w:rPr>
          <w:rFonts w:ascii="Arial" w:eastAsia="Arial" w:hAnsi="Arial" w:cs="Arial"/>
        </w:rPr>
        <w:t xml:space="preserve">  Corresponde a los Concejos:</w:t>
      </w:r>
    </w:p>
    <w:p w14:paraId="7E1E6814" w14:textId="77777777" w:rsidR="00D779F6" w:rsidRPr="00491102" w:rsidRDefault="00300AB1">
      <w:pPr>
        <w:spacing w:before="240" w:after="240" w:line="240" w:lineRule="auto"/>
        <w:ind w:left="1220" w:right="400" w:hanging="360"/>
        <w:jc w:val="both"/>
        <w:rPr>
          <w:rFonts w:ascii="Arial" w:eastAsia="Arial" w:hAnsi="Arial" w:cs="Arial"/>
          <w:i/>
        </w:rPr>
      </w:pPr>
      <w:r w:rsidRPr="00491102">
        <w:rPr>
          <w:rFonts w:ascii="Arial" w:eastAsia="Arial" w:hAnsi="Arial" w:cs="Arial"/>
          <w:i/>
        </w:rPr>
        <w:t>1.</w:t>
      </w:r>
      <w:r w:rsidRPr="00491102">
        <w:rPr>
          <w:rFonts w:ascii="Arial" w:eastAsia="Times New Roman" w:hAnsi="Arial" w:cs="Arial"/>
        </w:rPr>
        <w:t xml:space="preserve">    </w:t>
      </w:r>
      <w:r w:rsidRPr="00491102">
        <w:rPr>
          <w:rFonts w:ascii="Arial" w:eastAsia="Arial" w:hAnsi="Arial" w:cs="Arial"/>
          <w:i/>
        </w:rPr>
        <w:t>Reglamentar las funciones y la eficiente prestación de los servicios a cargo del municipio.</w:t>
      </w:r>
    </w:p>
    <w:p w14:paraId="6F8BBED9" w14:textId="77777777" w:rsidR="00D779F6" w:rsidRPr="00491102" w:rsidRDefault="00300AB1">
      <w:pPr>
        <w:spacing w:before="240" w:after="240" w:line="240" w:lineRule="auto"/>
        <w:ind w:left="860" w:right="400"/>
        <w:jc w:val="both"/>
        <w:rPr>
          <w:rFonts w:ascii="Arial" w:eastAsia="Arial" w:hAnsi="Arial" w:cs="Arial"/>
          <w:i/>
        </w:rPr>
      </w:pPr>
      <w:r w:rsidRPr="00491102">
        <w:rPr>
          <w:rFonts w:ascii="Arial" w:eastAsia="Arial" w:hAnsi="Arial" w:cs="Arial"/>
          <w:i/>
        </w:rPr>
        <w:t>(…)</w:t>
      </w:r>
    </w:p>
    <w:p w14:paraId="5F258723" w14:textId="77777777" w:rsidR="00D779F6" w:rsidRPr="00491102" w:rsidRDefault="00300AB1">
      <w:pPr>
        <w:spacing w:after="0" w:line="240" w:lineRule="auto"/>
        <w:jc w:val="both"/>
        <w:rPr>
          <w:rFonts w:ascii="Arial" w:eastAsia="Arial" w:hAnsi="Arial" w:cs="Arial"/>
          <w:b/>
        </w:rPr>
      </w:pPr>
      <w:r w:rsidRPr="00491102">
        <w:rPr>
          <w:rFonts w:ascii="Arial" w:eastAsia="Arial" w:hAnsi="Arial" w:cs="Arial"/>
          <w:b/>
        </w:rPr>
        <w:t>Decreto Ley 1421 de 1993:</w:t>
      </w:r>
    </w:p>
    <w:p w14:paraId="3DBE30BE" w14:textId="77777777" w:rsidR="00D779F6" w:rsidRPr="00491102" w:rsidRDefault="00D779F6">
      <w:pPr>
        <w:spacing w:after="0" w:line="240" w:lineRule="auto"/>
        <w:jc w:val="both"/>
        <w:rPr>
          <w:rFonts w:ascii="Arial" w:eastAsia="Arial" w:hAnsi="Arial" w:cs="Arial"/>
        </w:rPr>
      </w:pPr>
    </w:p>
    <w:p w14:paraId="4460B97F" w14:textId="77777777" w:rsidR="00D779F6" w:rsidRPr="00491102" w:rsidRDefault="00300AB1">
      <w:pPr>
        <w:spacing w:after="0" w:line="240" w:lineRule="auto"/>
        <w:jc w:val="both"/>
        <w:rPr>
          <w:rFonts w:ascii="Arial" w:eastAsia="Arial" w:hAnsi="Arial" w:cs="Arial"/>
        </w:rPr>
      </w:pPr>
      <w:r w:rsidRPr="00491102">
        <w:rPr>
          <w:rFonts w:ascii="Arial" w:eastAsia="Arial" w:hAnsi="Arial" w:cs="Arial"/>
          <w:color w:val="000000"/>
        </w:rPr>
        <w:t xml:space="preserve">El Concejo de Bogotá como suprema autoridad del Distrito Capital </w:t>
      </w:r>
      <w:r w:rsidRPr="00491102">
        <w:rPr>
          <w:rFonts w:ascii="Arial" w:eastAsia="Arial" w:hAnsi="Arial" w:cs="Arial"/>
        </w:rPr>
        <w:t>según lo establece</w:t>
      </w:r>
      <w:r w:rsidRPr="00491102">
        <w:rPr>
          <w:rFonts w:ascii="Arial" w:eastAsia="Arial" w:hAnsi="Arial" w:cs="Arial"/>
          <w:color w:val="000000"/>
        </w:rPr>
        <w:t xml:space="preserve"> el </w:t>
      </w:r>
      <w:r w:rsidRPr="00491102">
        <w:rPr>
          <w:rFonts w:ascii="Arial" w:eastAsia="Arial" w:hAnsi="Arial" w:cs="Arial"/>
        </w:rPr>
        <w:t>artículo</w:t>
      </w:r>
      <w:r w:rsidRPr="00491102">
        <w:rPr>
          <w:rFonts w:ascii="Arial" w:eastAsia="Arial" w:hAnsi="Arial" w:cs="Arial"/>
          <w:color w:val="000000"/>
        </w:rPr>
        <w:t xml:space="preserve"> 8 </w:t>
      </w:r>
      <w:r w:rsidRPr="00491102">
        <w:rPr>
          <w:rFonts w:ascii="Arial" w:eastAsia="Arial" w:hAnsi="Arial" w:cs="Arial"/>
        </w:rPr>
        <w:t xml:space="preserve">del Decreto ley 1421 de 1993: </w:t>
      </w:r>
    </w:p>
    <w:p w14:paraId="4DB91A1F" w14:textId="77777777" w:rsidR="00D779F6" w:rsidRPr="00491102" w:rsidRDefault="00D779F6">
      <w:pPr>
        <w:spacing w:after="0" w:line="240" w:lineRule="auto"/>
        <w:jc w:val="both"/>
        <w:rPr>
          <w:rFonts w:ascii="Arial" w:eastAsia="Arial" w:hAnsi="Arial" w:cs="Arial"/>
        </w:rPr>
      </w:pPr>
    </w:p>
    <w:p w14:paraId="512C010F" w14:textId="77777777" w:rsidR="00D779F6" w:rsidRPr="00491102" w:rsidRDefault="00300AB1">
      <w:pPr>
        <w:spacing w:after="0" w:line="240" w:lineRule="auto"/>
        <w:ind w:left="720"/>
        <w:jc w:val="both"/>
        <w:rPr>
          <w:rFonts w:ascii="Arial" w:eastAsia="Arial" w:hAnsi="Arial" w:cs="Arial"/>
        </w:rPr>
      </w:pPr>
      <w:r w:rsidRPr="00491102">
        <w:rPr>
          <w:rFonts w:ascii="Arial" w:eastAsia="Arial" w:hAnsi="Arial" w:cs="Arial"/>
          <w:b/>
          <w:i/>
          <w:color w:val="333333"/>
          <w:highlight w:val="white"/>
        </w:rPr>
        <w:t>“ARTÍCULO</w:t>
      </w:r>
      <w:r w:rsidRPr="00491102">
        <w:rPr>
          <w:rFonts w:ascii="Arial" w:hAnsi="Arial" w:cs="Arial"/>
          <w:i/>
          <w:color w:val="333333"/>
          <w:highlight w:val="white"/>
        </w:rPr>
        <w:t xml:space="preserve"> </w:t>
      </w:r>
      <w:r w:rsidRPr="00491102">
        <w:rPr>
          <w:rFonts w:ascii="Arial" w:eastAsia="Arial" w:hAnsi="Arial" w:cs="Arial"/>
          <w:b/>
          <w:i/>
          <w:color w:val="333333"/>
          <w:highlight w:val="white"/>
        </w:rPr>
        <w:t>8.</w:t>
      </w:r>
      <w:r w:rsidRPr="00491102">
        <w:rPr>
          <w:rFonts w:ascii="Arial" w:eastAsia="Arial" w:hAnsi="Arial" w:cs="Arial"/>
          <w:i/>
          <w:color w:val="333333"/>
          <w:highlight w:val="white"/>
        </w:rPr>
        <w:t xml:space="preserve"> </w:t>
      </w:r>
      <w:r w:rsidRPr="00491102">
        <w:rPr>
          <w:rFonts w:ascii="Arial" w:eastAsia="Arial" w:hAnsi="Arial" w:cs="Arial"/>
          <w:b/>
          <w:i/>
          <w:color w:val="333333"/>
          <w:highlight w:val="white"/>
        </w:rPr>
        <w:t>Funciones generales.</w:t>
      </w:r>
      <w:r w:rsidRPr="00491102">
        <w:rPr>
          <w:rFonts w:ascii="Arial" w:eastAsia="Arial" w:hAnsi="Arial" w:cs="Arial"/>
          <w:i/>
          <w:color w:val="333333"/>
          <w:highlight w:val="white"/>
        </w:rPr>
        <w:t xml:space="preserve"> El Concejo es la suprema autoridad del Distrito Capital. En materia administrativa sus atribuciones son de carácter normativo. También le corresponde vigilar y controlar la gestión que cumplan las autoridades distritales”</w:t>
      </w:r>
    </w:p>
    <w:p w14:paraId="20318893" w14:textId="77777777" w:rsidR="00D779F6" w:rsidRPr="00491102" w:rsidRDefault="00D779F6">
      <w:pPr>
        <w:spacing w:after="0" w:line="240" w:lineRule="auto"/>
        <w:jc w:val="both"/>
        <w:rPr>
          <w:rFonts w:ascii="Arial" w:eastAsia="Arial" w:hAnsi="Arial" w:cs="Arial"/>
        </w:rPr>
      </w:pPr>
    </w:p>
    <w:p w14:paraId="27512700" w14:textId="77777777" w:rsidR="00D779F6" w:rsidRPr="00491102" w:rsidRDefault="00300AB1">
      <w:pPr>
        <w:spacing w:after="0" w:line="240" w:lineRule="auto"/>
        <w:jc w:val="both"/>
        <w:rPr>
          <w:rFonts w:ascii="Arial" w:eastAsia="Arial" w:hAnsi="Arial" w:cs="Arial"/>
          <w:color w:val="000000"/>
        </w:rPr>
      </w:pPr>
      <w:r w:rsidRPr="00491102">
        <w:rPr>
          <w:rFonts w:ascii="Arial" w:eastAsia="Arial" w:hAnsi="Arial" w:cs="Arial"/>
        </w:rPr>
        <w:t xml:space="preserve">Es también </w:t>
      </w:r>
      <w:r w:rsidRPr="00491102">
        <w:rPr>
          <w:rFonts w:ascii="Arial" w:eastAsia="Arial" w:hAnsi="Arial" w:cs="Arial"/>
          <w:color w:val="000000"/>
        </w:rPr>
        <w:t xml:space="preserve">competente para estudiar y aprobar o improbar el presente proyecto de acuerdo en virtud de lo establecido en el numeral 1 del Artículo 12 de la misma </w:t>
      </w:r>
      <w:r w:rsidRPr="00491102">
        <w:rPr>
          <w:rFonts w:ascii="Arial" w:eastAsia="Arial" w:hAnsi="Arial" w:cs="Arial"/>
        </w:rPr>
        <w:t>norma</w:t>
      </w:r>
      <w:r w:rsidRPr="00491102">
        <w:rPr>
          <w:rFonts w:ascii="Arial" w:eastAsia="Arial" w:hAnsi="Arial" w:cs="Arial"/>
          <w:color w:val="000000"/>
        </w:rPr>
        <w:t xml:space="preserve"> </w:t>
      </w:r>
      <w:r w:rsidRPr="00491102">
        <w:rPr>
          <w:rFonts w:ascii="Arial" w:eastAsia="Arial" w:hAnsi="Arial" w:cs="Arial"/>
        </w:rPr>
        <w:t>que consagró</w:t>
      </w:r>
      <w:r w:rsidRPr="00491102">
        <w:rPr>
          <w:rFonts w:ascii="Arial" w:eastAsia="Arial" w:hAnsi="Arial" w:cs="Arial"/>
          <w:color w:val="000000"/>
        </w:rPr>
        <w:t xml:space="preserve">:  </w:t>
      </w:r>
    </w:p>
    <w:p w14:paraId="6F51FC4B" w14:textId="77777777" w:rsidR="00D779F6" w:rsidRPr="00491102" w:rsidRDefault="00300AB1">
      <w:pPr>
        <w:widowControl w:val="0"/>
        <w:pBdr>
          <w:top w:val="nil"/>
          <w:left w:val="nil"/>
          <w:bottom w:val="nil"/>
          <w:right w:val="nil"/>
          <w:between w:val="nil"/>
        </w:pBdr>
        <w:spacing w:before="558" w:after="0" w:line="240" w:lineRule="auto"/>
        <w:ind w:left="721"/>
        <w:jc w:val="both"/>
        <w:rPr>
          <w:rFonts w:ascii="Arial" w:eastAsia="Arial" w:hAnsi="Arial" w:cs="Arial"/>
          <w:b/>
          <w:i/>
          <w:color w:val="000000"/>
        </w:rPr>
      </w:pPr>
      <w:r w:rsidRPr="00491102">
        <w:rPr>
          <w:rFonts w:ascii="Arial" w:eastAsia="Arial" w:hAnsi="Arial" w:cs="Arial"/>
          <w:b/>
          <w:i/>
          <w:color w:val="000000"/>
        </w:rPr>
        <w:t xml:space="preserve">DECRETO LEY 1421 de 1993 “Estatuto Orgánico de Bogotá”.  </w:t>
      </w:r>
    </w:p>
    <w:p w14:paraId="3748CC85" w14:textId="77777777" w:rsidR="00D779F6" w:rsidRPr="00491102" w:rsidRDefault="00300AB1">
      <w:pPr>
        <w:widowControl w:val="0"/>
        <w:pBdr>
          <w:top w:val="nil"/>
          <w:left w:val="nil"/>
          <w:bottom w:val="nil"/>
          <w:right w:val="nil"/>
          <w:between w:val="nil"/>
        </w:pBdr>
        <w:spacing w:before="269" w:after="0" w:line="230" w:lineRule="auto"/>
        <w:ind w:left="717" w:right="74"/>
        <w:jc w:val="both"/>
        <w:rPr>
          <w:rFonts w:ascii="Arial" w:eastAsia="Arial" w:hAnsi="Arial" w:cs="Arial"/>
          <w:i/>
          <w:color w:val="000000"/>
        </w:rPr>
      </w:pPr>
      <w:r w:rsidRPr="00491102">
        <w:rPr>
          <w:rFonts w:ascii="Arial" w:eastAsia="Arial" w:hAnsi="Arial" w:cs="Arial"/>
          <w:b/>
          <w:i/>
          <w:color w:val="000000"/>
        </w:rPr>
        <w:t xml:space="preserve">Art. 12. </w:t>
      </w:r>
      <w:r w:rsidRPr="00491102">
        <w:rPr>
          <w:rFonts w:ascii="Arial" w:eastAsia="Arial" w:hAnsi="Arial" w:cs="Arial"/>
          <w:i/>
          <w:color w:val="000000"/>
        </w:rPr>
        <w:t xml:space="preserve">Atribuciones. Corresponde al Concejo Distrital, de conformidad con la Constitución y la ley: (…) </w:t>
      </w:r>
    </w:p>
    <w:p w14:paraId="7EDAED25" w14:textId="77777777" w:rsidR="00D779F6" w:rsidRPr="00491102" w:rsidRDefault="00300AB1">
      <w:pPr>
        <w:widowControl w:val="0"/>
        <w:pBdr>
          <w:top w:val="nil"/>
          <w:left w:val="nil"/>
          <w:bottom w:val="nil"/>
          <w:right w:val="nil"/>
          <w:between w:val="nil"/>
        </w:pBdr>
        <w:spacing w:before="281" w:after="0" w:line="229" w:lineRule="auto"/>
        <w:ind w:left="731" w:right="75" w:firstLine="29"/>
        <w:jc w:val="both"/>
        <w:rPr>
          <w:rFonts w:ascii="Arial" w:eastAsia="Arial" w:hAnsi="Arial" w:cs="Arial"/>
          <w:i/>
          <w:color w:val="000000"/>
        </w:rPr>
      </w:pPr>
      <w:r w:rsidRPr="00491102">
        <w:rPr>
          <w:rFonts w:ascii="Arial" w:eastAsia="Arial" w:hAnsi="Arial" w:cs="Arial"/>
          <w:i/>
          <w:color w:val="000000"/>
        </w:rPr>
        <w:t xml:space="preserve">1. Dictar las normas necesarias para garantizar el adecuado cumplimiento de las funciones y la eficiente prestación de los servicios a cargo del Distrito. </w:t>
      </w:r>
    </w:p>
    <w:p w14:paraId="2FC894AF" w14:textId="77777777" w:rsidR="00D779F6" w:rsidRPr="00491102" w:rsidRDefault="00300AB1">
      <w:pPr>
        <w:widowControl w:val="0"/>
        <w:pBdr>
          <w:top w:val="nil"/>
          <w:left w:val="nil"/>
          <w:bottom w:val="nil"/>
          <w:right w:val="nil"/>
          <w:between w:val="nil"/>
        </w:pBdr>
        <w:spacing w:before="282" w:after="0" w:line="240" w:lineRule="auto"/>
        <w:ind w:left="731"/>
        <w:jc w:val="both"/>
        <w:rPr>
          <w:rFonts w:ascii="Arial" w:eastAsia="Arial" w:hAnsi="Arial" w:cs="Arial"/>
          <w:i/>
          <w:color w:val="000000"/>
        </w:rPr>
      </w:pPr>
      <w:r w:rsidRPr="00491102">
        <w:rPr>
          <w:rFonts w:ascii="Arial" w:eastAsia="Arial" w:hAnsi="Arial" w:cs="Arial"/>
          <w:i/>
          <w:color w:val="000000"/>
        </w:rPr>
        <w:t>(…)</w:t>
      </w:r>
    </w:p>
    <w:p w14:paraId="3CFCDB4F" w14:textId="77777777" w:rsidR="00D779F6" w:rsidRPr="00491102" w:rsidRDefault="00D779F6">
      <w:pPr>
        <w:widowControl w:val="0"/>
        <w:pBdr>
          <w:top w:val="nil"/>
          <w:left w:val="nil"/>
          <w:bottom w:val="nil"/>
          <w:right w:val="nil"/>
          <w:between w:val="nil"/>
        </w:pBdr>
        <w:spacing w:after="0" w:line="240" w:lineRule="auto"/>
        <w:jc w:val="both"/>
        <w:rPr>
          <w:rFonts w:ascii="Arial" w:eastAsia="Arial" w:hAnsi="Arial" w:cs="Arial"/>
          <w:color w:val="000000"/>
        </w:rPr>
      </w:pPr>
    </w:p>
    <w:p w14:paraId="4B764874" w14:textId="77777777" w:rsidR="00D779F6" w:rsidRPr="00491102" w:rsidRDefault="00D779F6">
      <w:pPr>
        <w:widowControl w:val="0"/>
        <w:pBdr>
          <w:top w:val="nil"/>
          <w:left w:val="nil"/>
          <w:bottom w:val="nil"/>
          <w:right w:val="nil"/>
          <w:between w:val="nil"/>
        </w:pBdr>
        <w:spacing w:after="0" w:line="240" w:lineRule="auto"/>
        <w:jc w:val="both"/>
        <w:rPr>
          <w:rFonts w:ascii="Arial" w:eastAsia="Arial" w:hAnsi="Arial" w:cs="Arial"/>
          <w:color w:val="000000"/>
        </w:rPr>
      </w:pPr>
    </w:p>
    <w:p w14:paraId="13C6736B" w14:textId="77777777" w:rsidR="00D779F6" w:rsidRPr="00491102" w:rsidRDefault="00300AB1" w:rsidP="00491102">
      <w:pPr>
        <w:widowControl w:val="0"/>
        <w:numPr>
          <w:ilvl w:val="0"/>
          <w:numId w:val="6"/>
        </w:numPr>
        <w:pBdr>
          <w:top w:val="nil"/>
          <w:left w:val="nil"/>
          <w:bottom w:val="nil"/>
          <w:right w:val="nil"/>
          <w:between w:val="nil"/>
        </w:pBdr>
        <w:spacing w:after="0" w:line="240" w:lineRule="auto"/>
        <w:jc w:val="both"/>
        <w:rPr>
          <w:rFonts w:ascii="Arial" w:eastAsia="Arial" w:hAnsi="Arial" w:cs="Arial"/>
          <w:b/>
          <w:color w:val="000000"/>
        </w:rPr>
      </w:pPr>
      <w:r w:rsidRPr="00491102">
        <w:rPr>
          <w:rFonts w:ascii="Arial" w:eastAsia="Arial" w:hAnsi="Arial" w:cs="Arial"/>
          <w:b/>
          <w:color w:val="000000"/>
        </w:rPr>
        <w:t xml:space="preserve">IMPACTO FISCAL  </w:t>
      </w:r>
    </w:p>
    <w:p w14:paraId="3F468B37" w14:textId="77777777" w:rsidR="00D779F6" w:rsidRPr="00491102" w:rsidRDefault="00D779F6">
      <w:pPr>
        <w:widowControl w:val="0"/>
        <w:pBdr>
          <w:top w:val="nil"/>
          <w:left w:val="nil"/>
          <w:bottom w:val="nil"/>
          <w:right w:val="nil"/>
          <w:between w:val="nil"/>
        </w:pBdr>
        <w:spacing w:after="0" w:line="240" w:lineRule="auto"/>
        <w:ind w:left="19" w:right="17" w:firstLine="3"/>
        <w:jc w:val="both"/>
        <w:rPr>
          <w:rFonts w:ascii="Arial" w:eastAsia="Arial" w:hAnsi="Arial" w:cs="Arial"/>
          <w:color w:val="000000"/>
        </w:rPr>
      </w:pPr>
    </w:p>
    <w:p w14:paraId="1057916E" w14:textId="77777777" w:rsidR="00D779F6" w:rsidRPr="00491102" w:rsidRDefault="00300AB1" w:rsidP="00491102">
      <w:pPr>
        <w:pStyle w:val="Sinespaciado"/>
        <w:jc w:val="both"/>
        <w:rPr>
          <w:rFonts w:ascii="Arial" w:eastAsia="Arial" w:hAnsi="Arial" w:cs="Arial"/>
          <w:sz w:val="22"/>
          <w:szCs w:val="22"/>
        </w:rPr>
      </w:pPr>
      <w:r w:rsidRPr="00491102">
        <w:rPr>
          <w:rFonts w:ascii="Arial" w:eastAsia="Arial" w:hAnsi="Arial" w:cs="Arial"/>
          <w:sz w:val="22"/>
          <w:szCs w:val="22"/>
        </w:rPr>
        <w:t>De conformidad con el Artículo 7 de la Ley 819 de 2003, los gastos que genere la presente iniciativa se entenderán incluidos en los presupuestos y en el Plan Operativo Anual de Inversión de las entidades competentes.</w:t>
      </w:r>
    </w:p>
    <w:p w14:paraId="0A72D147" w14:textId="77777777" w:rsidR="00D779F6" w:rsidRPr="00491102" w:rsidRDefault="00300AB1" w:rsidP="00491102">
      <w:pPr>
        <w:spacing w:before="240" w:after="240"/>
        <w:jc w:val="both"/>
        <w:rPr>
          <w:rFonts w:ascii="Arial" w:eastAsia="Arial" w:hAnsi="Arial" w:cs="Arial"/>
        </w:rPr>
      </w:pPr>
      <w:r w:rsidRPr="00491102">
        <w:rPr>
          <w:rFonts w:ascii="Arial" w:eastAsia="Arial" w:hAnsi="Arial" w:cs="Arial"/>
        </w:rPr>
        <w:t>Es relevante mencionar, para el caso en concreto, que no obstante lo anterior, la Corte Constitucional en Sentencia C-911 de 2007, puntualizó que el impacto fiscal de las normas no puede convertirse en óbice, para que las corporaciones públicas ejerzan su función legislativa y normativa, afirmando:</w:t>
      </w:r>
    </w:p>
    <w:p w14:paraId="71D339A0" w14:textId="77777777" w:rsidR="00D779F6" w:rsidRPr="00491102" w:rsidRDefault="00300AB1">
      <w:pPr>
        <w:spacing w:after="0"/>
        <w:ind w:left="220" w:right="220"/>
        <w:jc w:val="both"/>
        <w:rPr>
          <w:rFonts w:ascii="Arial" w:eastAsia="Arial" w:hAnsi="Arial" w:cs="Arial"/>
          <w:i/>
        </w:rPr>
      </w:pPr>
      <w:r w:rsidRPr="00491102">
        <w:rPr>
          <w:rFonts w:ascii="Arial" w:eastAsia="Arial" w:hAnsi="Arial" w:cs="Arial"/>
          <w:i/>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4F56AF1A" w14:textId="77777777" w:rsidR="00D779F6" w:rsidRPr="00491102" w:rsidRDefault="00300AB1">
      <w:pPr>
        <w:spacing w:after="0"/>
        <w:ind w:left="220" w:right="220"/>
        <w:jc w:val="both"/>
        <w:rPr>
          <w:rFonts w:ascii="Arial" w:eastAsia="Arial" w:hAnsi="Arial" w:cs="Arial"/>
          <w:i/>
        </w:rPr>
      </w:pPr>
      <w:r w:rsidRPr="00491102">
        <w:rPr>
          <w:rFonts w:ascii="Arial" w:eastAsia="Arial" w:hAnsi="Arial" w:cs="Arial"/>
          <w:i/>
        </w:rPr>
        <w:t xml:space="preserve"> </w:t>
      </w:r>
    </w:p>
    <w:p w14:paraId="4B885B93" w14:textId="77777777" w:rsidR="004D269B" w:rsidRPr="00491102" w:rsidRDefault="00300AB1" w:rsidP="004D269B">
      <w:pPr>
        <w:spacing w:after="0"/>
        <w:ind w:left="220" w:right="220"/>
        <w:jc w:val="both"/>
        <w:rPr>
          <w:rFonts w:ascii="Arial" w:eastAsia="Arial" w:hAnsi="Arial" w:cs="Arial"/>
          <w:i/>
        </w:rPr>
      </w:pPr>
      <w:r w:rsidRPr="00491102">
        <w:rPr>
          <w:rFonts w:ascii="Arial" w:eastAsia="Arial" w:hAnsi="Arial" w:cs="Arial"/>
          <w:i/>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92DFC28" w14:textId="77777777" w:rsidR="004D269B" w:rsidRPr="00491102" w:rsidRDefault="004D269B" w:rsidP="004D269B">
      <w:pPr>
        <w:spacing w:after="0"/>
        <w:ind w:left="220" w:right="220"/>
        <w:jc w:val="both"/>
        <w:rPr>
          <w:rFonts w:ascii="Arial" w:eastAsia="Arial" w:hAnsi="Arial" w:cs="Arial"/>
          <w:i/>
        </w:rPr>
      </w:pPr>
    </w:p>
    <w:p w14:paraId="042F57A3" w14:textId="77777777" w:rsidR="00D779F6" w:rsidRPr="00491102" w:rsidRDefault="00300AB1" w:rsidP="004D269B">
      <w:pPr>
        <w:spacing w:after="0"/>
        <w:ind w:left="220" w:right="220"/>
        <w:jc w:val="both"/>
        <w:rPr>
          <w:rFonts w:ascii="Arial" w:eastAsia="Arial" w:hAnsi="Arial" w:cs="Arial"/>
          <w:i/>
        </w:rPr>
      </w:pPr>
      <w:r w:rsidRPr="00491102">
        <w:rPr>
          <w:rFonts w:ascii="Arial" w:eastAsia="Arial" w:hAnsi="Arial" w:cs="Arial"/>
          <w:color w:val="000000"/>
        </w:rPr>
        <w:t>Cordialmente,</w:t>
      </w:r>
    </w:p>
    <w:p w14:paraId="2741B82C" w14:textId="77777777" w:rsidR="00D779F6" w:rsidRPr="00491102" w:rsidRDefault="00D779F6">
      <w:pPr>
        <w:widowControl w:val="0"/>
        <w:pBdr>
          <w:top w:val="nil"/>
          <w:left w:val="nil"/>
          <w:bottom w:val="nil"/>
          <w:right w:val="nil"/>
          <w:between w:val="nil"/>
        </w:pBdr>
        <w:spacing w:before="639" w:after="0" w:line="240" w:lineRule="auto"/>
        <w:rPr>
          <w:rFonts w:ascii="Arial" w:eastAsia="Arial" w:hAnsi="Arial" w:cs="Arial"/>
          <w:b/>
          <w:color w:val="000000"/>
        </w:rPr>
      </w:pPr>
    </w:p>
    <w:p w14:paraId="1F432D0E" w14:textId="77777777" w:rsidR="00D779F6" w:rsidRPr="00491102" w:rsidRDefault="00300AB1">
      <w:pPr>
        <w:pBdr>
          <w:top w:val="nil"/>
          <w:left w:val="nil"/>
          <w:bottom w:val="nil"/>
          <w:right w:val="nil"/>
          <w:between w:val="nil"/>
        </w:pBdr>
        <w:spacing w:after="0" w:line="240" w:lineRule="auto"/>
        <w:rPr>
          <w:rFonts w:ascii="Arial" w:eastAsia="Arial" w:hAnsi="Arial" w:cs="Arial"/>
          <w:b/>
          <w:color w:val="000000"/>
        </w:rPr>
      </w:pPr>
      <w:r w:rsidRPr="00491102">
        <w:rPr>
          <w:rFonts w:ascii="Arial" w:eastAsia="Arial" w:hAnsi="Arial" w:cs="Arial"/>
          <w:b/>
          <w:color w:val="000000"/>
        </w:rPr>
        <w:t>ROCÍO DUSSÁN PÉREZ</w:t>
      </w:r>
    </w:p>
    <w:p w14:paraId="6F2426FC" w14:textId="77777777" w:rsidR="00D779F6" w:rsidRPr="00491102" w:rsidRDefault="00300AB1">
      <w:pPr>
        <w:pBdr>
          <w:top w:val="nil"/>
          <w:left w:val="nil"/>
          <w:bottom w:val="nil"/>
          <w:right w:val="nil"/>
          <w:between w:val="nil"/>
        </w:pBdr>
        <w:spacing w:after="0" w:line="240" w:lineRule="auto"/>
        <w:rPr>
          <w:rFonts w:ascii="Arial" w:eastAsia="Arial" w:hAnsi="Arial" w:cs="Arial"/>
          <w:color w:val="000000"/>
        </w:rPr>
      </w:pPr>
      <w:r w:rsidRPr="00491102">
        <w:rPr>
          <w:rFonts w:ascii="Arial" w:eastAsia="Arial" w:hAnsi="Arial" w:cs="Arial"/>
          <w:color w:val="000000"/>
        </w:rPr>
        <w:t xml:space="preserve">Concejal de Bogotá D.C. </w:t>
      </w:r>
    </w:p>
    <w:p w14:paraId="58F87487" w14:textId="77777777" w:rsidR="00D779F6" w:rsidRPr="00491102" w:rsidRDefault="00D779F6">
      <w:pPr>
        <w:pBdr>
          <w:top w:val="nil"/>
          <w:left w:val="nil"/>
          <w:bottom w:val="nil"/>
          <w:right w:val="nil"/>
          <w:between w:val="nil"/>
        </w:pBdr>
        <w:spacing w:after="0" w:line="240" w:lineRule="auto"/>
        <w:rPr>
          <w:rFonts w:ascii="Arial" w:eastAsia="Arial" w:hAnsi="Arial" w:cs="Arial"/>
          <w:color w:val="000000"/>
        </w:rPr>
      </w:pPr>
    </w:p>
    <w:p w14:paraId="4E9B36EF" w14:textId="77777777" w:rsidR="004D269B" w:rsidRPr="00491102" w:rsidRDefault="004D269B" w:rsidP="004D269B">
      <w:pPr>
        <w:widowControl w:val="0"/>
        <w:pBdr>
          <w:top w:val="nil"/>
          <w:left w:val="nil"/>
          <w:bottom w:val="nil"/>
          <w:right w:val="nil"/>
          <w:between w:val="nil"/>
        </w:pBdr>
        <w:spacing w:after="0" w:line="240" w:lineRule="auto"/>
        <w:ind w:right="23"/>
        <w:jc w:val="both"/>
        <w:rPr>
          <w:rFonts w:ascii="Arial" w:eastAsia="Arial" w:hAnsi="Arial" w:cs="Arial"/>
          <w:i/>
          <w:color w:val="000000"/>
          <w:sz w:val="16"/>
          <w:szCs w:val="16"/>
        </w:rPr>
      </w:pPr>
      <w:r w:rsidRPr="00491102">
        <w:rPr>
          <w:rFonts w:ascii="Arial" w:eastAsia="Arial" w:hAnsi="Arial" w:cs="Arial"/>
          <w:i/>
          <w:color w:val="000000"/>
          <w:sz w:val="16"/>
          <w:szCs w:val="16"/>
        </w:rPr>
        <w:t>Elaboró: Laura Alejandra Montero Granados.</w:t>
      </w:r>
    </w:p>
    <w:p w14:paraId="33974B23" w14:textId="77777777" w:rsidR="004D269B" w:rsidRPr="00491102" w:rsidRDefault="00A12BE0" w:rsidP="004D269B">
      <w:pPr>
        <w:widowControl w:val="0"/>
        <w:pBdr>
          <w:top w:val="nil"/>
          <w:left w:val="nil"/>
          <w:bottom w:val="nil"/>
          <w:right w:val="nil"/>
          <w:between w:val="nil"/>
        </w:pBdr>
        <w:spacing w:after="0" w:line="240" w:lineRule="auto"/>
        <w:ind w:right="23"/>
        <w:jc w:val="both"/>
        <w:rPr>
          <w:rFonts w:ascii="Arial" w:eastAsia="Arial" w:hAnsi="Arial" w:cs="Arial"/>
          <w:i/>
          <w:color w:val="000000"/>
          <w:sz w:val="16"/>
          <w:szCs w:val="16"/>
        </w:rPr>
      </w:pPr>
      <w:r>
        <w:rPr>
          <w:rFonts w:ascii="Arial" w:eastAsia="Arial" w:hAnsi="Arial" w:cs="Arial"/>
          <w:i/>
          <w:color w:val="000000"/>
          <w:sz w:val="16"/>
          <w:szCs w:val="16"/>
        </w:rPr>
        <w:t xml:space="preserve">Revisó: Camilo Andrés Sotelo Ch. </w:t>
      </w:r>
    </w:p>
    <w:p w14:paraId="4E2A4F29" w14:textId="77777777" w:rsidR="004D269B" w:rsidRDefault="004D269B"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482BC2BE"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51DACD9C"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520ECAAA"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1C81B24D"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36A205F2"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00CAE3D1"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029286AC"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4A451B5F"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5837FB44"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76AF3292"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3A340732"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7904E240" w14:textId="77777777" w:rsidR="00491102" w:rsidRDefault="00491102" w:rsidP="004D269B">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4B68B054" w14:textId="77777777" w:rsidR="00D779F6" w:rsidRPr="00491102" w:rsidRDefault="00300AB1">
      <w:pPr>
        <w:widowControl w:val="0"/>
        <w:numPr>
          <w:ilvl w:val="0"/>
          <w:numId w:val="4"/>
        </w:numPr>
        <w:pBdr>
          <w:top w:val="nil"/>
          <w:left w:val="nil"/>
          <w:bottom w:val="nil"/>
          <w:right w:val="nil"/>
          <w:between w:val="nil"/>
        </w:pBdr>
        <w:spacing w:after="0" w:line="240" w:lineRule="auto"/>
        <w:ind w:right="17"/>
        <w:jc w:val="center"/>
        <w:rPr>
          <w:rFonts w:ascii="Arial" w:eastAsia="Arial" w:hAnsi="Arial" w:cs="Arial"/>
          <w:color w:val="000000"/>
        </w:rPr>
      </w:pPr>
      <w:r w:rsidRPr="00491102">
        <w:rPr>
          <w:rFonts w:ascii="Arial" w:eastAsia="Arial" w:hAnsi="Arial" w:cs="Arial"/>
          <w:b/>
          <w:color w:val="000000"/>
        </w:rPr>
        <w:t>TÍTULO – ATRIBUCIONES - CONSIDERANDOS</w:t>
      </w:r>
    </w:p>
    <w:p w14:paraId="0A4162C2" w14:textId="77777777" w:rsidR="00D779F6" w:rsidRPr="00491102" w:rsidRDefault="00D779F6">
      <w:pPr>
        <w:pBdr>
          <w:top w:val="nil"/>
          <w:left w:val="nil"/>
          <w:bottom w:val="nil"/>
          <w:right w:val="nil"/>
          <w:between w:val="nil"/>
        </w:pBdr>
        <w:spacing w:after="0" w:line="240" w:lineRule="auto"/>
        <w:rPr>
          <w:rFonts w:ascii="Arial" w:eastAsia="Arial" w:hAnsi="Arial" w:cs="Arial"/>
          <w:color w:val="000000"/>
        </w:rPr>
      </w:pPr>
    </w:p>
    <w:p w14:paraId="09765098" w14:textId="77777777" w:rsidR="00D779F6" w:rsidRPr="00491102" w:rsidRDefault="00300AB1">
      <w:pPr>
        <w:pBdr>
          <w:top w:val="nil"/>
          <w:left w:val="nil"/>
          <w:bottom w:val="nil"/>
          <w:right w:val="nil"/>
          <w:between w:val="nil"/>
        </w:pBdr>
        <w:spacing w:after="0" w:line="240" w:lineRule="auto"/>
        <w:jc w:val="center"/>
        <w:rPr>
          <w:rFonts w:ascii="Arial" w:eastAsia="Arial" w:hAnsi="Arial" w:cs="Arial"/>
          <w:b/>
          <w:color w:val="000000"/>
        </w:rPr>
      </w:pPr>
      <w:r w:rsidRPr="00491102">
        <w:rPr>
          <w:rFonts w:ascii="Arial" w:eastAsia="Arial" w:hAnsi="Arial" w:cs="Arial"/>
          <w:b/>
          <w:color w:val="000000"/>
        </w:rPr>
        <w:t>PROYE</w:t>
      </w:r>
      <w:r w:rsidR="00A12BE0">
        <w:rPr>
          <w:rFonts w:ascii="Arial" w:eastAsia="Arial" w:hAnsi="Arial" w:cs="Arial"/>
          <w:b/>
          <w:color w:val="000000"/>
        </w:rPr>
        <w:t>CTO DE ACUERDO No. _____ DE 2025</w:t>
      </w:r>
    </w:p>
    <w:p w14:paraId="1AFE9FD4" w14:textId="77777777" w:rsidR="00D779F6" w:rsidRPr="00491102" w:rsidRDefault="00D779F6">
      <w:pPr>
        <w:pBdr>
          <w:top w:val="nil"/>
          <w:left w:val="nil"/>
          <w:bottom w:val="nil"/>
          <w:right w:val="nil"/>
          <w:between w:val="nil"/>
        </w:pBdr>
        <w:spacing w:after="0" w:line="240" w:lineRule="auto"/>
        <w:rPr>
          <w:rFonts w:ascii="Arial" w:eastAsia="Arial" w:hAnsi="Arial" w:cs="Arial"/>
          <w:color w:val="000000"/>
        </w:rPr>
      </w:pPr>
    </w:p>
    <w:p w14:paraId="35463BDE" w14:textId="0AEBD9CE" w:rsidR="00D779F6" w:rsidRPr="00491102" w:rsidRDefault="00B67407">
      <w:pPr>
        <w:pBdr>
          <w:top w:val="nil"/>
          <w:left w:val="nil"/>
          <w:bottom w:val="nil"/>
          <w:right w:val="nil"/>
          <w:between w:val="nil"/>
        </w:pBdr>
        <w:spacing w:after="0" w:line="240" w:lineRule="auto"/>
        <w:jc w:val="center"/>
        <w:rPr>
          <w:rFonts w:ascii="Arial" w:eastAsia="Arial" w:hAnsi="Arial" w:cs="Arial"/>
          <w:b/>
          <w:i/>
          <w:color w:val="000000"/>
        </w:rPr>
      </w:pPr>
      <w:r w:rsidRPr="00491102">
        <w:rPr>
          <w:rFonts w:ascii="Arial" w:eastAsia="Arial" w:hAnsi="Arial" w:cs="Arial"/>
          <w:b/>
          <w:i/>
          <w:color w:val="000000"/>
        </w:rPr>
        <w:t xml:space="preserve">“POR MEDIO DEL CUAL SE ADOPTAN EN EL DISTRITO LOS LINEAMIENTOS PARA LA POLÍTICA PÚBLICA EN ABORDAJE, DIAGNÓSTICO TEMPRANO Y TRATAMIENTO INTEGRAL DE LA ENDOMETRIOSIS QUE TRAE LA </w:t>
      </w:r>
      <w:r>
        <w:rPr>
          <w:rFonts w:ascii="Arial" w:eastAsia="Arial" w:hAnsi="Arial" w:cs="Arial"/>
          <w:b/>
          <w:i/>
          <w:color w:val="000000"/>
        </w:rPr>
        <w:t>L</w:t>
      </w:r>
      <w:r w:rsidRPr="00491102">
        <w:rPr>
          <w:rFonts w:ascii="Arial" w:eastAsia="Arial" w:hAnsi="Arial" w:cs="Arial"/>
          <w:b/>
          <w:i/>
          <w:color w:val="000000"/>
        </w:rPr>
        <w:t xml:space="preserve">EY 2338 DE 2023” </w:t>
      </w:r>
    </w:p>
    <w:p w14:paraId="627381CC" w14:textId="77777777" w:rsidR="00D779F6" w:rsidRPr="00491102" w:rsidRDefault="00D779F6">
      <w:pPr>
        <w:pBdr>
          <w:top w:val="nil"/>
          <w:left w:val="nil"/>
          <w:bottom w:val="nil"/>
          <w:right w:val="nil"/>
          <w:between w:val="nil"/>
        </w:pBdr>
        <w:spacing w:after="0" w:line="240" w:lineRule="auto"/>
        <w:jc w:val="center"/>
        <w:rPr>
          <w:rFonts w:ascii="Arial" w:eastAsia="Arial" w:hAnsi="Arial" w:cs="Arial"/>
          <w:color w:val="000000"/>
        </w:rPr>
      </w:pPr>
    </w:p>
    <w:p w14:paraId="04475A43" w14:textId="77777777" w:rsidR="00D779F6" w:rsidRPr="00491102" w:rsidRDefault="00300AB1">
      <w:pPr>
        <w:pBdr>
          <w:top w:val="nil"/>
          <w:left w:val="nil"/>
          <w:bottom w:val="nil"/>
          <w:right w:val="nil"/>
          <w:between w:val="nil"/>
        </w:pBdr>
        <w:spacing w:after="0" w:line="240" w:lineRule="auto"/>
        <w:jc w:val="center"/>
        <w:rPr>
          <w:rFonts w:ascii="Arial" w:eastAsia="Arial" w:hAnsi="Arial" w:cs="Arial"/>
          <w:b/>
          <w:color w:val="000000"/>
        </w:rPr>
      </w:pPr>
      <w:r w:rsidRPr="00491102">
        <w:rPr>
          <w:rFonts w:ascii="Arial" w:eastAsia="Arial" w:hAnsi="Arial" w:cs="Arial"/>
          <w:b/>
          <w:color w:val="000000"/>
        </w:rPr>
        <w:t>EL CONCEJO DE BOGOTÁ D.C.</w:t>
      </w:r>
    </w:p>
    <w:p w14:paraId="405E6613" w14:textId="77777777" w:rsidR="00D779F6" w:rsidRPr="00491102" w:rsidRDefault="00D779F6">
      <w:pPr>
        <w:pBdr>
          <w:top w:val="nil"/>
          <w:left w:val="nil"/>
          <w:bottom w:val="nil"/>
          <w:right w:val="nil"/>
          <w:between w:val="nil"/>
        </w:pBdr>
        <w:spacing w:after="0" w:line="240" w:lineRule="auto"/>
        <w:rPr>
          <w:rFonts w:ascii="Arial" w:eastAsia="Arial" w:hAnsi="Arial" w:cs="Arial"/>
          <w:color w:val="000000"/>
        </w:rPr>
      </w:pPr>
    </w:p>
    <w:p w14:paraId="007EC76A" w14:textId="77777777" w:rsidR="00D779F6" w:rsidRPr="00491102" w:rsidRDefault="00300AB1" w:rsidP="008A6B4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color w:val="000000"/>
        </w:rPr>
        <w:t>En ejercicio de sus facultades constitucionales y legales, en especial las conferidas por el numeral 14 del artículo 12 del Decreto Ley 1421 de 1993 y</w:t>
      </w:r>
    </w:p>
    <w:p w14:paraId="1AB4DF30" w14:textId="77777777" w:rsidR="00D779F6" w:rsidRPr="00491102" w:rsidRDefault="00D779F6" w:rsidP="00491102">
      <w:pPr>
        <w:pStyle w:val="Sinespaciado"/>
        <w:rPr>
          <w:rFonts w:eastAsia="Arial"/>
        </w:rPr>
      </w:pPr>
    </w:p>
    <w:p w14:paraId="27E2F853" w14:textId="77777777" w:rsidR="00D779F6" w:rsidRPr="00491102" w:rsidRDefault="00300AB1" w:rsidP="008A6B41">
      <w:pPr>
        <w:pBdr>
          <w:top w:val="nil"/>
          <w:left w:val="nil"/>
          <w:bottom w:val="nil"/>
          <w:right w:val="nil"/>
          <w:between w:val="nil"/>
        </w:pBdr>
        <w:spacing w:after="0" w:line="240" w:lineRule="auto"/>
        <w:jc w:val="center"/>
        <w:rPr>
          <w:rFonts w:ascii="Arial" w:eastAsia="Arial" w:hAnsi="Arial" w:cs="Arial"/>
          <w:b/>
          <w:color w:val="000000"/>
        </w:rPr>
      </w:pPr>
      <w:r w:rsidRPr="00491102">
        <w:rPr>
          <w:rFonts w:ascii="Arial" w:eastAsia="Arial" w:hAnsi="Arial" w:cs="Arial"/>
          <w:b/>
          <w:color w:val="000000"/>
        </w:rPr>
        <w:t>VI. ARTICULADO</w:t>
      </w:r>
    </w:p>
    <w:p w14:paraId="495D5CDC" w14:textId="77777777" w:rsidR="00491102" w:rsidRPr="00491102" w:rsidRDefault="00300AB1" w:rsidP="00491102">
      <w:pPr>
        <w:widowControl w:val="0"/>
        <w:pBdr>
          <w:top w:val="nil"/>
          <w:left w:val="nil"/>
          <w:bottom w:val="nil"/>
          <w:right w:val="nil"/>
          <w:between w:val="nil"/>
        </w:pBdr>
        <w:spacing w:before="271" w:after="0" w:line="240" w:lineRule="auto"/>
        <w:ind w:left="3788"/>
        <w:jc w:val="both"/>
        <w:rPr>
          <w:rFonts w:ascii="Arial" w:eastAsia="Arial" w:hAnsi="Arial" w:cs="Arial"/>
          <w:b/>
        </w:rPr>
      </w:pPr>
      <w:r w:rsidRPr="00491102">
        <w:rPr>
          <w:rFonts w:ascii="Arial" w:eastAsia="Arial" w:hAnsi="Arial" w:cs="Arial"/>
          <w:b/>
          <w:color w:val="000000"/>
        </w:rPr>
        <w:t xml:space="preserve">ACUERDA: </w:t>
      </w:r>
    </w:p>
    <w:p w14:paraId="1DC037CE" w14:textId="77777777" w:rsidR="00491102" w:rsidRPr="00491102" w:rsidRDefault="00491102" w:rsidP="00491102">
      <w:pPr>
        <w:pStyle w:val="Sinespaciado"/>
        <w:rPr>
          <w:rFonts w:eastAsia="Arial"/>
          <w:sz w:val="22"/>
          <w:szCs w:val="22"/>
        </w:rPr>
      </w:pPr>
    </w:p>
    <w:p w14:paraId="7229ADC1" w14:textId="77777777" w:rsidR="00D779F6" w:rsidRPr="00491102" w:rsidRDefault="00300AB1" w:rsidP="008A6B4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b/>
          <w:color w:val="000000"/>
        </w:rPr>
        <w:t>Artículo 1.</w:t>
      </w:r>
      <w:r w:rsidRPr="00491102">
        <w:rPr>
          <w:rFonts w:ascii="Arial" w:eastAsia="Arial" w:hAnsi="Arial" w:cs="Arial"/>
          <w:color w:val="000000"/>
        </w:rPr>
        <w:t xml:space="preserve"> </w:t>
      </w:r>
      <w:r w:rsidR="00A12BE0">
        <w:rPr>
          <w:rFonts w:ascii="Arial" w:eastAsia="Arial" w:hAnsi="Arial" w:cs="Arial"/>
          <w:color w:val="000000"/>
        </w:rPr>
        <w:t xml:space="preserve">Impleméntese en el Distrito Capital la Política Pública </w:t>
      </w:r>
      <w:r w:rsidR="00A12BE0" w:rsidRPr="00491102">
        <w:rPr>
          <w:rFonts w:ascii="Arial" w:eastAsia="Arial" w:hAnsi="Arial" w:cs="Arial"/>
          <w:color w:val="000000"/>
        </w:rPr>
        <w:t xml:space="preserve">establecida por el Ministerio de Salud y </w:t>
      </w:r>
      <w:r w:rsidR="00A12BE0">
        <w:rPr>
          <w:rFonts w:ascii="Arial" w:eastAsia="Arial" w:hAnsi="Arial" w:cs="Arial"/>
          <w:color w:val="000000"/>
        </w:rPr>
        <w:t>Protección Social</w:t>
      </w:r>
      <w:r w:rsidR="00A12BE0" w:rsidRPr="00491102">
        <w:rPr>
          <w:rFonts w:ascii="Arial" w:eastAsia="Arial" w:hAnsi="Arial" w:cs="Arial"/>
          <w:color w:val="000000"/>
        </w:rPr>
        <w:t xml:space="preserve"> </w:t>
      </w:r>
      <w:r w:rsidR="00A12BE0">
        <w:rPr>
          <w:rFonts w:ascii="Arial" w:eastAsia="Arial" w:hAnsi="Arial" w:cs="Arial"/>
          <w:color w:val="000000"/>
        </w:rPr>
        <w:t xml:space="preserve">relacionada con el </w:t>
      </w:r>
      <w:r w:rsidR="008A6B41" w:rsidRPr="00491102">
        <w:rPr>
          <w:rFonts w:ascii="Arial" w:eastAsia="Arial" w:hAnsi="Arial" w:cs="Arial"/>
          <w:color w:val="000000"/>
        </w:rPr>
        <w:t>abordaje</w:t>
      </w:r>
      <w:r w:rsidRPr="00491102">
        <w:rPr>
          <w:rFonts w:ascii="Arial" w:eastAsia="Arial" w:hAnsi="Arial" w:cs="Arial"/>
          <w:color w:val="000000"/>
        </w:rPr>
        <w:t>, diagnóstico temprano y tratamiento integ</w:t>
      </w:r>
      <w:r w:rsidR="00A12BE0">
        <w:rPr>
          <w:rFonts w:ascii="Arial" w:eastAsia="Arial" w:hAnsi="Arial" w:cs="Arial"/>
          <w:color w:val="000000"/>
        </w:rPr>
        <w:t xml:space="preserve">ral de la endometriosis, para su promoción y sensibilización. </w:t>
      </w:r>
    </w:p>
    <w:p w14:paraId="43FBAFBD" w14:textId="77777777" w:rsidR="00D779F6" w:rsidRPr="00491102" w:rsidRDefault="00D779F6" w:rsidP="008A6B41">
      <w:pPr>
        <w:pBdr>
          <w:top w:val="nil"/>
          <w:left w:val="nil"/>
          <w:bottom w:val="nil"/>
          <w:right w:val="nil"/>
          <w:between w:val="nil"/>
        </w:pBdr>
        <w:spacing w:after="0" w:line="240" w:lineRule="auto"/>
        <w:jc w:val="both"/>
        <w:rPr>
          <w:rFonts w:ascii="Arial" w:eastAsia="Arial" w:hAnsi="Arial" w:cs="Arial"/>
          <w:color w:val="000000"/>
        </w:rPr>
      </w:pPr>
    </w:p>
    <w:p w14:paraId="2991AB6C" w14:textId="77777777" w:rsidR="00D779F6" w:rsidRPr="00491102" w:rsidRDefault="00300AB1" w:rsidP="008A6B4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b/>
          <w:color w:val="000000"/>
        </w:rPr>
        <w:t>Parágrafo:</w:t>
      </w:r>
      <w:r w:rsidRPr="00491102">
        <w:rPr>
          <w:rFonts w:ascii="Arial" w:eastAsia="Arial" w:hAnsi="Arial" w:cs="Arial"/>
          <w:color w:val="000000"/>
        </w:rPr>
        <w:t xml:space="preserve"> La Secretaría Distrital de Salud, en coordinación con los demás sectores de la administración, del sistema de salud y seguridad social, liderará la implementación de la política pública incorporada en la ley 2338 de 2023. </w:t>
      </w:r>
    </w:p>
    <w:p w14:paraId="546A05D5" w14:textId="77777777" w:rsidR="00D779F6" w:rsidRPr="00491102" w:rsidRDefault="00D779F6" w:rsidP="008A6B41">
      <w:pPr>
        <w:pBdr>
          <w:top w:val="nil"/>
          <w:left w:val="nil"/>
          <w:bottom w:val="nil"/>
          <w:right w:val="nil"/>
          <w:between w:val="nil"/>
        </w:pBdr>
        <w:spacing w:after="0" w:line="240" w:lineRule="auto"/>
        <w:jc w:val="both"/>
        <w:rPr>
          <w:rFonts w:ascii="Arial" w:eastAsia="Arial" w:hAnsi="Arial" w:cs="Arial"/>
          <w:color w:val="000000"/>
        </w:rPr>
      </w:pPr>
    </w:p>
    <w:p w14:paraId="026E8DAE" w14:textId="77777777" w:rsidR="00D779F6" w:rsidRPr="00491102" w:rsidRDefault="00300AB1" w:rsidP="008A6B4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b/>
          <w:color w:val="000000"/>
        </w:rPr>
        <w:t>Artículo 2</w:t>
      </w:r>
      <w:r w:rsidRPr="00491102">
        <w:rPr>
          <w:rFonts w:ascii="Arial" w:eastAsia="Arial" w:hAnsi="Arial" w:cs="Arial"/>
          <w:color w:val="000000"/>
        </w:rPr>
        <w:t xml:space="preserve">.  </w:t>
      </w:r>
      <w:r w:rsidR="00A12BE0">
        <w:rPr>
          <w:rFonts w:ascii="Arial" w:eastAsia="Arial" w:hAnsi="Arial" w:cs="Arial"/>
          <w:color w:val="000000"/>
        </w:rPr>
        <w:t>L</w:t>
      </w:r>
      <w:r w:rsidRPr="00491102">
        <w:rPr>
          <w:rFonts w:ascii="Arial" w:eastAsia="Arial" w:hAnsi="Arial" w:cs="Arial"/>
          <w:color w:val="000000"/>
        </w:rPr>
        <w:t>a Secretaría Distrital de Salud realizar</w:t>
      </w:r>
      <w:r w:rsidR="00A12BE0">
        <w:rPr>
          <w:rFonts w:ascii="Arial" w:eastAsia="Arial" w:hAnsi="Arial" w:cs="Arial"/>
          <w:color w:val="000000"/>
        </w:rPr>
        <w:t>á</w:t>
      </w:r>
      <w:r w:rsidRPr="00491102">
        <w:rPr>
          <w:rFonts w:ascii="Arial" w:eastAsia="Arial" w:hAnsi="Arial" w:cs="Arial"/>
          <w:color w:val="000000"/>
        </w:rPr>
        <w:t xml:space="preserve"> lo pertinente con el fin de crear las pautas para la </w:t>
      </w:r>
      <w:r w:rsidR="00A12BE0">
        <w:rPr>
          <w:rFonts w:ascii="Arial" w:eastAsia="Arial" w:hAnsi="Arial" w:cs="Arial"/>
          <w:color w:val="000000"/>
        </w:rPr>
        <w:t>implementación</w:t>
      </w:r>
      <w:r w:rsidRPr="00491102">
        <w:rPr>
          <w:rFonts w:ascii="Arial" w:eastAsia="Arial" w:hAnsi="Arial" w:cs="Arial"/>
          <w:color w:val="000000"/>
        </w:rPr>
        <w:t xml:space="preserve"> de la Ruta Diagnóstica Temprana y de atención de la endometriosis en las ESE y demás entidades que presten servicios de salud en el distrito capital. Esto según lo consagrado en el artículo 8 de la ley 2338 de 2023. </w:t>
      </w:r>
    </w:p>
    <w:p w14:paraId="663E02C2" w14:textId="77777777" w:rsidR="00D779F6" w:rsidRPr="00491102" w:rsidRDefault="00D779F6" w:rsidP="008A6B41">
      <w:pPr>
        <w:pBdr>
          <w:top w:val="nil"/>
          <w:left w:val="nil"/>
          <w:bottom w:val="nil"/>
          <w:right w:val="nil"/>
          <w:between w:val="nil"/>
        </w:pBdr>
        <w:spacing w:after="0" w:line="240" w:lineRule="auto"/>
        <w:jc w:val="both"/>
        <w:rPr>
          <w:rFonts w:ascii="Arial" w:eastAsia="Arial" w:hAnsi="Arial" w:cs="Arial"/>
          <w:color w:val="000000"/>
        </w:rPr>
      </w:pPr>
    </w:p>
    <w:p w14:paraId="73FCAF4E" w14:textId="77777777" w:rsidR="00D779F6" w:rsidRPr="00491102" w:rsidRDefault="00300AB1" w:rsidP="008A6B41">
      <w:pPr>
        <w:pBdr>
          <w:top w:val="nil"/>
          <w:left w:val="nil"/>
          <w:bottom w:val="nil"/>
          <w:right w:val="nil"/>
          <w:between w:val="nil"/>
        </w:pBdr>
        <w:spacing w:after="0" w:line="240" w:lineRule="auto"/>
        <w:jc w:val="both"/>
        <w:rPr>
          <w:rFonts w:ascii="Arial" w:eastAsia="Arial" w:hAnsi="Arial" w:cs="Arial"/>
          <w:color w:val="000000"/>
        </w:rPr>
      </w:pPr>
      <w:r w:rsidRPr="00491102">
        <w:rPr>
          <w:rFonts w:ascii="Arial" w:eastAsia="Arial" w:hAnsi="Arial" w:cs="Arial"/>
          <w:b/>
          <w:color w:val="000000"/>
        </w:rPr>
        <w:t>Artículo 3.</w:t>
      </w:r>
      <w:r w:rsidR="00A12BE0">
        <w:rPr>
          <w:rFonts w:ascii="Arial" w:eastAsia="Arial" w:hAnsi="Arial" w:cs="Arial"/>
          <w:color w:val="000000"/>
        </w:rPr>
        <w:t xml:space="preserve"> Las entidades del distrito</w:t>
      </w:r>
      <w:r w:rsidRPr="00491102">
        <w:rPr>
          <w:rFonts w:ascii="Arial" w:eastAsia="Arial" w:hAnsi="Arial" w:cs="Arial"/>
          <w:color w:val="000000"/>
        </w:rPr>
        <w:t xml:space="preserve"> implementar</w:t>
      </w:r>
      <w:r w:rsidR="00A12BE0">
        <w:rPr>
          <w:rFonts w:ascii="Arial" w:eastAsia="Arial" w:hAnsi="Arial" w:cs="Arial"/>
          <w:color w:val="000000"/>
        </w:rPr>
        <w:t>án</w:t>
      </w:r>
      <w:r w:rsidRPr="00491102">
        <w:rPr>
          <w:rFonts w:ascii="Arial" w:eastAsia="Arial" w:hAnsi="Arial" w:cs="Arial"/>
          <w:color w:val="000000"/>
        </w:rPr>
        <w:t xml:space="preserve"> horarios flexibles </w:t>
      </w:r>
      <w:r w:rsidR="00A12BE0">
        <w:rPr>
          <w:rFonts w:ascii="Arial" w:eastAsia="Arial" w:hAnsi="Arial" w:cs="Arial"/>
          <w:color w:val="000000"/>
        </w:rPr>
        <w:t xml:space="preserve">para </w:t>
      </w:r>
      <w:r w:rsidRPr="00491102">
        <w:rPr>
          <w:rFonts w:ascii="Arial" w:eastAsia="Arial" w:hAnsi="Arial" w:cs="Arial"/>
          <w:color w:val="000000"/>
        </w:rPr>
        <w:t>las trabajadoras diagnosticadas con endometriosis. Según lo reglado en el art</w:t>
      </w:r>
      <w:r w:rsidR="00A12BE0">
        <w:rPr>
          <w:rFonts w:ascii="Arial" w:eastAsia="Arial" w:hAnsi="Arial" w:cs="Arial"/>
          <w:color w:val="000000"/>
        </w:rPr>
        <w:t xml:space="preserve">ículo 9 de la ley citada. </w:t>
      </w:r>
    </w:p>
    <w:p w14:paraId="3FDE4A95" w14:textId="77777777" w:rsidR="00D779F6" w:rsidRPr="00491102" w:rsidRDefault="00D779F6" w:rsidP="008A6B41">
      <w:pPr>
        <w:pBdr>
          <w:top w:val="nil"/>
          <w:left w:val="nil"/>
          <w:bottom w:val="nil"/>
          <w:right w:val="nil"/>
          <w:between w:val="nil"/>
        </w:pBdr>
        <w:spacing w:after="0" w:line="240" w:lineRule="auto"/>
        <w:jc w:val="both"/>
        <w:rPr>
          <w:rFonts w:ascii="Arial" w:eastAsia="Arial" w:hAnsi="Arial" w:cs="Arial"/>
          <w:color w:val="000000"/>
        </w:rPr>
      </w:pPr>
    </w:p>
    <w:p w14:paraId="4DE00AB9" w14:textId="77777777" w:rsidR="00D779F6" w:rsidRPr="00491102" w:rsidRDefault="00300AB1" w:rsidP="008A6B41">
      <w:pPr>
        <w:jc w:val="both"/>
        <w:rPr>
          <w:rFonts w:ascii="Arial" w:eastAsia="Arial" w:hAnsi="Arial" w:cs="Arial"/>
          <w:color w:val="000000"/>
        </w:rPr>
      </w:pPr>
      <w:r w:rsidRPr="00491102">
        <w:rPr>
          <w:rFonts w:ascii="Arial" w:eastAsia="Arial" w:hAnsi="Arial" w:cs="Arial"/>
          <w:b/>
          <w:color w:val="000000"/>
        </w:rPr>
        <w:t xml:space="preserve">Artículo 4. </w:t>
      </w:r>
      <w:r w:rsidR="00A12BE0">
        <w:rPr>
          <w:rFonts w:ascii="Arial" w:eastAsia="Arial" w:hAnsi="Arial" w:cs="Arial"/>
          <w:color w:val="000000"/>
        </w:rPr>
        <w:t>Las</w:t>
      </w:r>
      <w:r w:rsidR="003404F8">
        <w:rPr>
          <w:rFonts w:ascii="Arial" w:eastAsia="Arial" w:hAnsi="Arial" w:cs="Arial"/>
          <w:color w:val="000000"/>
        </w:rPr>
        <w:t xml:space="preserve"> entidades del Distrito deberán</w:t>
      </w:r>
      <w:r w:rsidR="00A12BE0" w:rsidRPr="00491102">
        <w:rPr>
          <w:rFonts w:ascii="Arial" w:eastAsia="Arial" w:hAnsi="Arial" w:cs="Arial"/>
          <w:color w:val="000000"/>
        </w:rPr>
        <w:t xml:space="preserve"> realizar actividades y eventos que tengan como finalidad la concienciación y prevención de la endometriosis</w:t>
      </w:r>
      <w:r w:rsidR="003404F8">
        <w:rPr>
          <w:rFonts w:ascii="Arial" w:eastAsia="Arial" w:hAnsi="Arial" w:cs="Arial"/>
          <w:color w:val="000000"/>
        </w:rPr>
        <w:t xml:space="preserve"> los días </w:t>
      </w:r>
      <w:r w:rsidRPr="00491102">
        <w:rPr>
          <w:rFonts w:ascii="Arial" w:eastAsia="Arial" w:hAnsi="Arial" w:cs="Arial"/>
          <w:color w:val="000000"/>
        </w:rPr>
        <w:t>14 de marzo</w:t>
      </w:r>
      <w:r w:rsidR="003404F8">
        <w:rPr>
          <w:rFonts w:ascii="Arial" w:eastAsia="Arial" w:hAnsi="Arial" w:cs="Arial"/>
          <w:color w:val="000000"/>
        </w:rPr>
        <w:t xml:space="preserve"> de cada año después de aprobada esta iniciativa</w:t>
      </w:r>
      <w:r w:rsidRPr="00491102">
        <w:rPr>
          <w:rFonts w:ascii="Arial" w:eastAsia="Arial" w:hAnsi="Arial" w:cs="Arial"/>
          <w:color w:val="000000"/>
        </w:rPr>
        <w:t xml:space="preserve">. Esto según remisión directa del artículo 10 de la ley 2338. </w:t>
      </w:r>
    </w:p>
    <w:p w14:paraId="270837D2" w14:textId="77777777" w:rsidR="00D779F6" w:rsidRPr="00491102" w:rsidRDefault="00300AB1" w:rsidP="008A6B41">
      <w:pPr>
        <w:jc w:val="both"/>
        <w:rPr>
          <w:rFonts w:ascii="Arial" w:eastAsia="Arial" w:hAnsi="Arial" w:cs="Arial"/>
          <w:color w:val="000000"/>
        </w:rPr>
      </w:pPr>
      <w:r w:rsidRPr="00491102">
        <w:rPr>
          <w:rFonts w:ascii="Arial" w:eastAsia="Arial" w:hAnsi="Arial" w:cs="Arial"/>
          <w:b/>
          <w:color w:val="000000"/>
        </w:rPr>
        <w:t>Artículo 5.</w:t>
      </w:r>
      <w:r w:rsidRPr="00491102">
        <w:rPr>
          <w:rFonts w:ascii="Arial" w:eastAsia="Arial" w:hAnsi="Arial" w:cs="Arial"/>
          <w:color w:val="000000"/>
        </w:rPr>
        <w:t xml:space="preserve"> Las entidades distritales que hagan parte de los programas y proyectos relacionados con el presente Acuerdo, deberán publicar en la página web, de forma clara, concreta, permanente y de fácil acceso, la información correspondiente a las acciones que adelanten encaminadas </w:t>
      </w:r>
      <w:r w:rsidRPr="00491102">
        <w:rPr>
          <w:rFonts w:ascii="Arial" w:eastAsia="Arial" w:hAnsi="Arial" w:cs="Arial"/>
        </w:rPr>
        <w:t>a</w:t>
      </w:r>
      <w:r w:rsidRPr="00491102">
        <w:rPr>
          <w:rFonts w:ascii="Arial" w:eastAsia="Arial" w:hAnsi="Arial" w:cs="Arial"/>
          <w:color w:val="000000"/>
        </w:rPr>
        <w:t xml:space="preserve"> la atención y prevención de esta dolencia de las mujeres.</w:t>
      </w:r>
    </w:p>
    <w:p w14:paraId="01523A40" w14:textId="77777777" w:rsidR="00D779F6" w:rsidRPr="00491102" w:rsidRDefault="00300AB1" w:rsidP="008A6B41">
      <w:pPr>
        <w:jc w:val="both"/>
        <w:rPr>
          <w:rFonts w:ascii="Arial" w:eastAsia="Arial" w:hAnsi="Arial" w:cs="Arial"/>
          <w:color w:val="000000"/>
        </w:rPr>
      </w:pPr>
      <w:r w:rsidRPr="00491102">
        <w:rPr>
          <w:rFonts w:ascii="Arial" w:eastAsia="Arial" w:hAnsi="Arial" w:cs="Arial"/>
          <w:b/>
          <w:color w:val="000000"/>
        </w:rPr>
        <w:t>Artículo 6.</w:t>
      </w:r>
      <w:r w:rsidRPr="00491102">
        <w:rPr>
          <w:rFonts w:ascii="Arial" w:eastAsia="Arial" w:hAnsi="Arial" w:cs="Arial"/>
          <w:color w:val="000000"/>
        </w:rPr>
        <w:t xml:space="preserve">  La Administración Distrital dispondrá anualmente de los recursos presupuestales necesarios y pertinentes para la implementación de las acciones de qué trata el presente Acuerdo. </w:t>
      </w:r>
    </w:p>
    <w:p w14:paraId="4A915D40" w14:textId="77777777" w:rsidR="00D779F6" w:rsidRPr="00491102" w:rsidRDefault="00300AB1" w:rsidP="008A6B41">
      <w:pPr>
        <w:jc w:val="both"/>
        <w:rPr>
          <w:rFonts w:ascii="Arial" w:eastAsia="Arial" w:hAnsi="Arial" w:cs="Arial"/>
          <w:color w:val="000000"/>
        </w:rPr>
      </w:pPr>
      <w:r w:rsidRPr="00491102">
        <w:rPr>
          <w:rFonts w:ascii="Arial" w:eastAsia="Arial" w:hAnsi="Arial" w:cs="Arial"/>
          <w:b/>
          <w:color w:val="000000"/>
        </w:rPr>
        <w:t>Artículo 7.</w:t>
      </w:r>
      <w:r w:rsidRPr="00491102">
        <w:rPr>
          <w:rFonts w:ascii="Arial" w:eastAsia="Arial" w:hAnsi="Arial" w:cs="Arial"/>
          <w:color w:val="000000"/>
        </w:rPr>
        <w:t xml:space="preserve">  </w:t>
      </w:r>
      <w:r w:rsidRPr="003404F8">
        <w:rPr>
          <w:rFonts w:ascii="Arial" w:eastAsia="Arial" w:hAnsi="Arial" w:cs="Arial"/>
          <w:b/>
          <w:color w:val="000000"/>
        </w:rPr>
        <w:t>Vigencia.</w:t>
      </w:r>
      <w:r w:rsidRPr="00491102">
        <w:rPr>
          <w:rFonts w:ascii="Arial" w:eastAsia="Arial" w:hAnsi="Arial" w:cs="Arial"/>
          <w:color w:val="000000"/>
        </w:rPr>
        <w:t xml:space="preserve"> El presente Acuerdo rige a partir de la fecha de su publicación y deroga las normas que le sean contrarias.</w:t>
      </w:r>
    </w:p>
    <w:p w14:paraId="45B33C57" w14:textId="77777777" w:rsidR="00D779F6" w:rsidRPr="00491102" w:rsidRDefault="00300AB1" w:rsidP="008A6B41">
      <w:pPr>
        <w:tabs>
          <w:tab w:val="left" w:pos="7080"/>
        </w:tabs>
        <w:jc w:val="center"/>
        <w:rPr>
          <w:rFonts w:ascii="Arial" w:eastAsia="Arial" w:hAnsi="Arial" w:cs="Arial"/>
          <w:b/>
          <w:color w:val="000000"/>
        </w:rPr>
      </w:pPr>
      <w:r w:rsidRPr="00491102">
        <w:rPr>
          <w:rFonts w:ascii="Arial" w:eastAsia="Arial" w:hAnsi="Arial" w:cs="Arial"/>
          <w:b/>
          <w:color w:val="000000"/>
        </w:rPr>
        <w:t>PUBLÍQUESE Y CÚMPLASE.</w:t>
      </w:r>
    </w:p>
    <w:p w14:paraId="081E9D9E" w14:textId="77777777" w:rsidR="00D779F6" w:rsidRPr="00491102" w:rsidRDefault="00300AB1" w:rsidP="008A6B41">
      <w:pPr>
        <w:spacing w:before="280" w:after="280"/>
        <w:jc w:val="both"/>
        <w:rPr>
          <w:rFonts w:ascii="Arial" w:eastAsia="Arial" w:hAnsi="Arial" w:cs="Arial"/>
        </w:rPr>
      </w:pPr>
      <w:r w:rsidRPr="00491102">
        <w:rPr>
          <w:rFonts w:ascii="Arial" w:eastAsia="Arial" w:hAnsi="Arial" w:cs="Arial"/>
        </w:rPr>
        <w:t>Dado en Bogotá, D. C., a los</w:t>
      </w:r>
      <w:r w:rsidRPr="00491102">
        <w:rPr>
          <w:rFonts w:ascii="Arial" w:eastAsia="Arial" w:hAnsi="Arial" w:cs="Arial"/>
          <w:u w:val="single"/>
        </w:rPr>
        <w:t xml:space="preserve"> </w:t>
      </w:r>
      <w:r w:rsidRPr="00491102">
        <w:rPr>
          <w:rFonts w:ascii="Arial" w:eastAsia="Arial" w:hAnsi="Arial" w:cs="Arial"/>
          <w:u w:val="single"/>
        </w:rPr>
        <w:tab/>
      </w:r>
      <w:r w:rsidRPr="00491102">
        <w:rPr>
          <w:rFonts w:ascii="Arial" w:eastAsia="Arial" w:hAnsi="Arial" w:cs="Arial"/>
        </w:rPr>
        <w:t>días del mes de</w:t>
      </w:r>
      <w:r w:rsidRPr="00491102">
        <w:rPr>
          <w:rFonts w:ascii="Arial" w:eastAsia="Arial" w:hAnsi="Arial" w:cs="Arial"/>
          <w:u w:val="single"/>
        </w:rPr>
        <w:t xml:space="preserve"> </w:t>
      </w:r>
      <w:r w:rsidR="001B06DD" w:rsidRPr="00491102">
        <w:rPr>
          <w:rFonts w:ascii="Arial" w:eastAsia="Arial" w:hAnsi="Arial" w:cs="Arial"/>
          <w:u w:val="single"/>
        </w:rPr>
        <w:tab/>
        <w:t xml:space="preserve"> </w:t>
      </w:r>
      <w:r w:rsidR="001B06DD" w:rsidRPr="00491102">
        <w:rPr>
          <w:rFonts w:ascii="Arial" w:eastAsia="Arial" w:hAnsi="Arial" w:cs="Arial"/>
        </w:rPr>
        <w:t>de</w:t>
      </w:r>
      <w:r w:rsidR="004D269B" w:rsidRPr="00491102">
        <w:rPr>
          <w:rFonts w:ascii="Arial" w:eastAsia="Arial" w:hAnsi="Arial" w:cs="Arial"/>
        </w:rPr>
        <w:t xml:space="preserve"> </w:t>
      </w:r>
      <w:r w:rsidR="008A6B41" w:rsidRPr="00491102">
        <w:rPr>
          <w:rFonts w:ascii="Arial" w:eastAsia="Arial" w:hAnsi="Arial" w:cs="Arial"/>
        </w:rPr>
        <w:t>dos mil veinticinco (2025</w:t>
      </w:r>
      <w:r w:rsidRPr="00491102">
        <w:rPr>
          <w:rFonts w:ascii="Arial" w:eastAsia="Arial" w:hAnsi="Arial" w:cs="Arial"/>
        </w:rPr>
        <w:t>).</w:t>
      </w:r>
    </w:p>
    <w:p w14:paraId="199158DE" w14:textId="77777777" w:rsidR="00D779F6" w:rsidRPr="00491102" w:rsidRDefault="00D779F6">
      <w:pPr>
        <w:widowControl w:val="0"/>
        <w:pBdr>
          <w:top w:val="nil"/>
          <w:left w:val="nil"/>
          <w:bottom w:val="nil"/>
          <w:right w:val="nil"/>
          <w:between w:val="nil"/>
        </w:pBdr>
        <w:spacing w:after="0" w:line="240" w:lineRule="auto"/>
        <w:ind w:right="23"/>
        <w:jc w:val="both"/>
        <w:rPr>
          <w:rFonts w:ascii="Arial" w:eastAsia="Arial" w:hAnsi="Arial" w:cs="Arial"/>
          <w:i/>
          <w:color w:val="000000"/>
        </w:rPr>
      </w:pPr>
    </w:p>
    <w:p w14:paraId="780B0567" w14:textId="77777777" w:rsidR="00D779F6" w:rsidRPr="00A12BE0" w:rsidRDefault="00300AB1">
      <w:pPr>
        <w:widowControl w:val="0"/>
        <w:pBdr>
          <w:top w:val="nil"/>
          <w:left w:val="nil"/>
          <w:bottom w:val="nil"/>
          <w:right w:val="nil"/>
          <w:between w:val="nil"/>
        </w:pBdr>
        <w:spacing w:after="0" w:line="240" w:lineRule="auto"/>
        <w:ind w:right="23"/>
        <w:jc w:val="both"/>
        <w:rPr>
          <w:rFonts w:ascii="Arial" w:eastAsia="Arial" w:hAnsi="Arial" w:cs="Arial"/>
          <w:i/>
          <w:color w:val="000000"/>
          <w:sz w:val="16"/>
          <w:szCs w:val="16"/>
        </w:rPr>
      </w:pPr>
      <w:bookmarkStart w:id="2" w:name="_heading=h.3znysh7" w:colFirst="0" w:colLast="0"/>
      <w:bookmarkEnd w:id="2"/>
      <w:r w:rsidRPr="00A12BE0">
        <w:rPr>
          <w:rFonts w:ascii="Arial" w:eastAsia="Arial" w:hAnsi="Arial" w:cs="Arial"/>
          <w:i/>
          <w:color w:val="000000"/>
          <w:sz w:val="16"/>
          <w:szCs w:val="16"/>
        </w:rPr>
        <w:t xml:space="preserve">Elaboró: </w:t>
      </w:r>
      <w:r w:rsidR="008A6B41" w:rsidRPr="00A12BE0">
        <w:rPr>
          <w:rFonts w:ascii="Arial" w:eastAsia="Arial" w:hAnsi="Arial" w:cs="Arial"/>
          <w:i/>
          <w:color w:val="000000"/>
          <w:sz w:val="16"/>
          <w:szCs w:val="16"/>
        </w:rPr>
        <w:t>Laura Alejandra Montero Granados.</w:t>
      </w:r>
    </w:p>
    <w:p w14:paraId="59DB2891" w14:textId="77777777" w:rsidR="00D779F6" w:rsidRPr="00A12BE0" w:rsidRDefault="00300AB1">
      <w:pPr>
        <w:widowControl w:val="0"/>
        <w:pBdr>
          <w:top w:val="nil"/>
          <w:left w:val="nil"/>
          <w:bottom w:val="nil"/>
          <w:right w:val="nil"/>
          <w:between w:val="nil"/>
        </w:pBdr>
        <w:spacing w:after="0" w:line="240" w:lineRule="auto"/>
        <w:ind w:right="23"/>
        <w:jc w:val="both"/>
        <w:rPr>
          <w:rFonts w:ascii="Arial" w:eastAsia="Arial" w:hAnsi="Arial" w:cs="Arial"/>
          <w:i/>
          <w:color w:val="000000"/>
          <w:sz w:val="16"/>
          <w:szCs w:val="16"/>
        </w:rPr>
      </w:pPr>
      <w:r w:rsidRPr="00A12BE0">
        <w:rPr>
          <w:rFonts w:ascii="Arial" w:eastAsia="Arial" w:hAnsi="Arial" w:cs="Arial"/>
          <w:i/>
          <w:color w:val="000000"/>
          <w:sz w:val="16"/>
          <w:szCs w:val="16"/>
        </w:rPr>
        <w:t xml:space="preserve">Revisó: </w:t>
      </w:r>
      <w:r w:rsidR="008A6B41" w:rsidRPr="00A12BE0">
        <w:rPr>
          <w:rFonts w:ascii="Arial" w:eastAsia="Arial" w:hAnsi="Arial" w:cs="Arial"/>
          <w:i/>
          <w:color w:val="000000"/>
          <w:sz w:val="16"/>
          <w:szCs w:val="16"/>
        </w:rPr>
        <w:t xml:space="preserve">Camilo </w:t>
      </w:r>
      <w:r w:rsidR="004D269B" w:rsidRPr="00A12BE0">
        <w:rPr>
          <w:rFonts w:ascii="Arial" w:eastAsia="Arial" w:hAnsi="Arial" w:cs="Arial"/>
          <w:i/>
          <w:color w:val="000000"/>
          <w:sz w:val="16"/>
          <w:szCs w:val="16"/>
        </w:rPr>
        <w:t xml:space="preserve">Andrés </w:t>
      </w:r>
      <w:r w:rsidR="008A6B41" w:rsidRPr="00A12BE0">
        <w:rPr>
          <w:rFonts w:ascii="Arial" w:eastAsia="Arial" w:hAnsi="Arial" w:cs="Arial"/>
          <w:i/>
          <w:color w:val="000000"/>
          <w:sz w:val="16"/>
          <w:szCs w:val="16"/>
        </w:rPr>
        <w:t>Sotelo</w:t>
      </w:r>
      <w:r w:rsidR="00A12BE0">
        <w:rPr>
          <w:rFonts w:ascii="Arial" w:eastAsia="Arial" w:hAnsi="Arial" w:cs="Arial"/>
          <w:i/>
          <w:color w:val="000000"/>
          <w:sz w:val="16"/>
          <w:szCs w:val="16"/>
        </w:rPr>
        <w:t xml:space="preserve"> Ch. </w:t>
      </w:r>
    </w:p>
    <w:sectPr w:rsidR="00D779F6" w:rsidRPr="00A12BE0">
      <w:headerReference w:type="default" r:id="rId10"/>
      <w:pgSz w:w="12240" w:h="15840"/>
      <w:pgMar w:top="1701" w:right="1701" w:bottom="1418" w:left="1701" w:header="1134"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166C1" w14:textId="77777777" w:rsidR="002265A6" w:rsidRDefault="002265A6">
      <w:pPr>
        <w:spacing w:after="0" w:line="240" w:lineRule="auto"/>
      </w:pPr>
      <w:r>
        <w:separator/>
      </w:r>
    </w:p>
  </w:endnote>
  <w:endnote w:type="continuationSeparator" w:id="0">
    <w:p w14:paraId="126410BA" w14:textId="77777777" w:rsidR="002265A6" w:rsidRDefault="00226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0ABA4" w14:textId="77777777" w:rsidR="002265A6" w:rsidRDefault="002265A6">
      <w:pPr>
        <w:spacing w:after="0" w:line="240" w:lineRule="auto"/>
      </w:pPr>
      <w:r>
        <w:separator/>
      </w:r>
    </w:p>
  </w:footnote>
  <w:footnote w:type="continuationSeparator" w:id="0">
    <w:p w14:paraId="4240934F" w14:textId="77777777" w:rsidR="002265A6" w:rsidRDefault="002265A6">
      <w:pPr>
        <w:spacing w:after="0" w:line="240" w:lineRule="auto"/>
      </w:pPr>
      <w:r>
        <w:continuationSeparator/>
      </w:r>
    </w:p>
  </w:footnote>
  <w:footnote w:id="1">
    <w:p w14:paraId="7C9780B7" w14:textId="77777777" w:rsidR="006D67E5" w:rsidRPr="00EB5EDE" w:rsidRDefault="006D67E5">
      <w:pPr>
        <w:pStyle w:val="Textonotapie"/>
        <w:rPr>
          <w:sz w:val="16"/>
          <w:szCs w:val="16"/>
          <w:lang w:val="es-MX"/>
        </w:rPr>
      </w:pPr>
      <w:r w:rsidRPr="00EB5EDE">
        <w:rPr>
          <w:rStyle w:val="Refdenotaalpie"/>
          <w:sz w:val="16"/>
          <w:szCs w:val="16"/>
        </w:rPr>
        <w:footnoteRef/>
      </w:r>
      <w:r w:rsidRPr="00EB5EDE">
        <w:rPr>
          <w:sz w:val="16"/>
          <w:szCs w:val="16"/>
        </w:rPr>
        <w:t xml:space="preserve"> </w:t>
      </w:r>
      <w:r w:rsidRPr="00EB5EDE">
        <w:rPr>
          <w:rFonts w:ascii="Arial" w:eastAsia="Arial" w:hAnsi="Arial" w:cs="Arial"/>
          <w:sz w:val="16"/>
          <w:szCs w:val="16"/>
        </w:rPr>
        <w:t>https://www.who.int/es/news-room/fact-sheets/detail/endometriosis</w:t>
      </w:r>
    </w:p>
  </w:footnote>
  <w:footnote w:id="2">
    <w:p w14:paraId="5B31EC3B" w14:textId="77777777" w:rsidR="00EB5EDE" w:rsidRPr="00EB5EDE" w:rsidRDefault="00EB5EDE">
      <w:pPr>
        <w:pStyle w:val="Textonotapie"/>
        <w:rPr>
          <w:lang w:val="es-MX"/>
        </w:rPr>
      </w:pPr>
      <w:r w:rsidRPr="00EB5EDE">
        <w:rPr>
          <w:rStyle w:val="Refdenotaalpie"/>
          <w:sz w:val="16"/>
          <w:szCs w:val="16"/>
        </w:rPr>
        <w:footnoteRef/>
      </w:r>
      <w:r w:rsidRPr="00EB5EDE">
        <w:rPr>
          <w:sz w:val="16"/>
          <w:szCs w:val="16"/>
        </w:rPr>
        <w:t xml:space="preserve"> </w:t>
      </w:r>
      <w:r w:rsidRPr="00EB5EDE">
        <w:rPr>
          <w:rFonts w:ascii="Arial" w:eastAsia="Arial" w:hAnsi="Arial" w:cs="Arial"/>
          <w:sz w:val="16"/>
          <w:szCs w:val="16"/>
        </w:rPr>
        <w:t>https://www.who.int/es/news-room/fact-sheets/detail/endometriosis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EB14E" w14:textId="77777777" w:rsidR="00D779F6" w:rsidRDefault="00D779F6">
    <w:pPr>
      <w:widowControl w:val="0"/>
      <w:pBdr>
        <w:top w:val="nil"/>
        <w:left w:val="nil"/>
        <w:bottom w:val="nil"/>
        <w:right w:val="nil"/>
        <w:between w:val="nil"/>
      </w:pBdr>
      <w:spacing w:after="0" w:line="276" w:lineRule="auto"/>
      <w:rPr>
        <w:rFonts w:ascii="Arial" w:eastAsia="Arial" w:hAnsi="Arial" w:cs="Arial"/>
        <w:i/>
        <w:color w:val="000000"/>
        <w:sz w:val="20"/>
        <w:szCs w:val="20"/>
      </w:rPr>
    </w:pPr>
  </w:p>
  <w:tbl>
    <w:tblPr>
      <w:tblStyle w:val="a0"/>
      <w:tblW w:w="8828" w:type="dxa"/>
      <w:tblInd w:w="0" w:type="dxa"/>
      <w:tblLayout w:type="fixed"/>
      <w:tblLook w:val="0000" w:firstRow="0" w:lastRow="0" w:firstColumn="0" w:lastColumn="0" w:noHBand="0" w:noVBand="0"/>
    </w:tblPr>
    <w:tblGrid>
      <w:gridCol w:w="2361"/>
      <w:gridCol w:w="4234"/>
      <w:gridCol w:w="2233"/>
    </w:tblGrid>
    <w:tr w:rsidR="00D779F6" w14:paraId="01B8105E"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7DA4B707" w14:textId="77777777" w:rsidR="00D779F6" w:rsidRDefault="00300AB1">
          <w:pPr>
            <w:jc w:val="center"/>
            <w:rPr>
              <w:sz w:val="16"/>
              <w:szCs w:val="16"/>
            </w:rPr>
          </w:pPr>
          <w:r>
            <w:rPr>
              <w:noProof/>
              <w:lang w:val="es-419" w:eastAsia="es-419"/>
            </w:rPr>
            <w:drawing>
              <wp:anchor distT="0" distB="0" distL="0" distR="0" simplePos="0" relativeHeight="251658240" behindDoc="1" locked="0" layoutInCell="1" hidden="0" allowOverlap="1" wp14:anchorId="68D1B6E8" wp14:editId="5062E27C">
                <wp:simplePos x="0" y="0"/>
                <wp:positionH relativeFrom="column">
                  <wp:posOffset>194945</wp:posOffset>
                </wp:positionH>
                <wp:positionV relativeFrom="paragraph">
                  <wp:posOffset>-5079</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4" w:type="dxa"/>
          <w:tcBorders>
            <w:top w:val="single" w:sz="4" w:space="0" w:color="000000"/>
            <w:left w:val="nil"/>
            <w:bottom w:val="single" w:sz="4" w:space="0" w:color="000000"/>
            <w:right w:val="single" w:sz="4" w:space="0" w:color="000000"/>
          </w:tcBorders>
          <w:vAlign w:val="center"/>
        </w:tcPr>
        <w:p w14:paraId="330E8280" w14:textId="77777777" w:rsidR="00D779F6" w:rsidRDefault="00300AB1">
          <w:pPr>
            <w:jc w:val="center"/>
            <w:rPr>
              <w:rFonts w:ascii="Arial" w:eastAsia="Arial" w:hAnsi="Arial" w:cs="Arial"/>
              <w:sz w:val="18"/>
              <w:szCs w:val="18"/>
            </w:rPr>
          </w:pPr>
          <w:r>
            <w:rPr>
              <w:rFonts w:ascii="Arial" w:eastAsia="Arial" w:hAnsi="Arial" w:cs="Arial"/>
              <w:sz w:val="18"/>
              <w:szCs w:val="18"/>
            </w:rPr>
            <w:t>PROCESO GESTIÓN NORMATIVA</w:t>
          </w:r>
        </w:p>
      </w:tc>
      <w:tc>
        <w:tcPr>
          <w:tcW w:w="2233" w:type="dxa"/>
          <w:tcBorders>
            <w:top w:val="single" w:sz="4" w:space="0" w:color="000000"/>
            <w:left w:val="nil"/>
            <w:bottom w:val="single" w:sz="4" w:space="0" w:color="000000"/>
            <w:right w:val="single" w:sz="4" w:space="0" w:color="000000"/>
          </w:tcBorders>
          <w:vAlign w:val="center"/>
        </w:tcPr>
        <w:p w14:paraId="4EB14530" w14:textId="77777777" w:rsidR="00D779F6" w:rsidRDefault="00300AB1">
          <w:pPr>
            <w:rPr>
              <w:rFonts w:ascii="Arial" w:eastAsia="Arial" w:hAnsi="Arial" w:cs="Arial"/>
              <w:sz w:val="18"/>
              <w:szCs w:val="18"/>
            </w:rPr>
          </w:pPr>
          <w:r>
            <w:rPr>
              <w:rFonts w:ascii="Arial" w:eastAsia="Arial" w:hAnsi="Arial" w:cs="Arial"/>
              <w:sz w:val="18"/>
              <w:szCs w:val="18"/>
            </w:rPr>
            <w:t>CÓDIGO</w:t>
          </w:r>
          <w:r>
            <w:rPr>
              <w:rFonts w:ascii="Arial" w:eastAsia="Arial" w:hAnsi="Arial" w:cs="Arial"/>
              <w:color w:val="3366FF"/>
              <w:sz w:val="18"/>
              <w:szCs w:val="18"/>
            </w:rPr>
            <w:t xml:space="preserve">: </w:t>
          </w:r>
          <w:r>
            <w:rPr>
              <w:rFonts w:ascii="Arial" w:eastAsia="Arial" w:hAnsi="Arial" w:cs="Arial"/>
              <w:sz w:val="18"/>
              <w:szCs w:val="18"/>
            </w:rPr>
            <w:t>GNV-FO-001</w:t>
          </w:r>
        </w:p>
      </w:tc>
    </w:tr>
    <w:tr w:rsidR="00D779F6" w14:paraId="54F0AA4A" w14:textId="77777777">
      <w:trPr>
        <w:trHeight w:val="454"/>
      </w:trPr>
      <w:tc>
        <w:tcPr>
          <w:tcW w:w="2361" w:type="dxa"/>
          <w:vMerge/>
          <w:tcBorders>
            <w:top w:val="single" w:sz="4" w:space="0" w:color="000000"/>
            <w:left w:val="single" w:sz="4" w:space="0" w:color="000000"/>
            <w:right w:val="single" w:sz="4" w:space="0" w:color="000000"/>
          </w:tcBorders>
          <w:vAlign w:val="center"/>
        </w:tcPr>
        <w:p w14:paraId="0D589608" w14:textId="77777777" w:rsidR="00D779F6" w:rsidRDefault="00D779F6">
          <w:pPr>
            <w:widowControl w:val="0"/>
            <w:pBdr>
              <w:top w:val="nil"/>
              <w:left w:val="nil"/>
              <w:bottom w:val="nil"/>
              <w:right w:val="nil"/>
              <w:between w:val="nil"/>
            </w:pBdr>
            <w:spacing w:after="0" w:line="276" w:lineRule="auto"/>
            <w:rPr>
              <w:rFonts w:ascii="Arial" w:eastAsia="Arial" w:hAnsi="Arial" w:cs="Arial"/>
              <w:sz w:val="18"/>
              <w:szCs w:val="18"/>
            </w:rPr>
          </w:pPr>
        </w:p>
      </w:tc>
      <w:tc>
        <w:tcPr>
          <w:tcW w:w="4234" w:type="dxa"/>
          <w:vMerge w:val="restart"/>
          <w:tcBorders>
            <w:top w:val="single" w:sz="4" w:space="0" w:color="000000"/>
            <w:left w:val="nil"/>
            <w:right w:val="single" w:sz="4" w:space="0" w:color="000000"/>
          </w:tcBorders>
          <w:vAlign w:val="center"/>
        </w:tcPr>
        <w:p w14:paraId="1A806702" w14:textId="77777777" w:rsidR="00D779F6" w:rsidRDefault="00300AB1">
          <w:pPr>
            <w:jc w:val="center"/>
            <w:rPr>
              <w:rFonts w:ascii="Arial" w:eastAsia="Arial" w:hAnsi="Arial" w:cs="Arial"/>
              <w:sz w:val="18"/>
              <w:szCs w:val="18"/>
            </w:rPr>
          </w:pPr>
          <w:r>
            <w:rPr>
              <w:rFonts w:ascii="Arial" w:eastAsia="Arial" w:hAnsi="Arial" w:cs="Arial"/>
              <w:sz w:val="18"/>
              <w:szCs w:val="18"/>
            </w:rPr>
            <w:t>PRESENTACIÓN PROYECTOS DE ACUERDO</w:t>
          </w:r>
        </w:p>
      </w:tc>
      <w:tc>
        <w:tcPr>
          <w:tcW w:w="2233" w:type="dxa"/>
          <w:tcBorders>
            <w:top w:val="single" w:sz="4" w:space="0" w:color="000000"/>
            <w:left w:val="nil"/>
            <w:bottom w:val="single" w:sz="4" w:space="0" w:color="000000"/>
            <w:right w:val="single" w:sz="4" w:space="0" w:color="000000"/>
          </w:tcBorders>
          <w:vAlign w:val="center"/>
        </w:tcPr>
        <w:p w14:paraId="4AFC87C0" w14:textId="77777777" w:rsidR="00D779F6" w:rsidRDefault="00300AB1">
          <w:pPr>
            <w:rPr>
              <w:rFonts w:ascii="Arial" w:eastAsia="Arial" w:hAnsi="Arial" w:cs="Arial"/>
              <w:sz w:val="18"/>
              <w:szCs w:val="18"/>
            </w:rPr>
          </w:pPr>
          <w:r>
            <w:rPr>
              <w:rFonts w:ascii="Arial" w:eastAsia="Arial" w:hAnsi="Arial" w:cs="Arial"/>
              <w:sz w:val="18"/>
              <w:szCs w:val="18"/>
            </w:rPr>
            <w:t>VERSIÓN:    02</w:t>
          </w:r>
        </w:p>
      </w:tc>
    </w:tr>
    <w:tr w:rsidR="00D779F6" w14:paraId="794EF77F" w14:textId="77777777" w:rsidTr="006D67E5">
      <w:trPr>
        <w:trHeight w:val="454"/>
      </w:trPr>
      <w:tc>
        <w:tcPr>
          <w:tcW w:w="2361" w:type="dxa"/>
          <w:vMerge/>
          <w:tcBorders>
            <w:top w:val="single" w:sz="4" w:space="0" w:color="000000"/>
            <w:left w:val="single" w:sz="4" w:space="0" w:color="000000"/>
            <w:bottom w:val="single" w:sz="4" w:space="0" w:color="auto"/>
            <w:right w:val="single" w:sz="4" w:space="0" w:color="000000"/>
          </w:tcBorders>
          <w:vAlign w:val="center"/>
        </w:tcPr>
        <w:p w14:paraId="2FC1B50C" w14:textId="77777777" w:rsidR="00D779F6" w:rsidRDefault="00D779F6">
          <w:pPr>
            <w:widowControl w:val="0"/>
            <w:pBdr>
              <w:top w:val="nil"/>
              <w:left w:val="nil"/>
              <w:bottom w:val="nil"/>
              <w:right w:val="nil"/>
              <w:between w:val="nil"/>
            </w:pBdr>
            <w:spacing w:after="0" w:line="276" w:lineRule="auto"/>
            <w:rPr>
              <w:rFonts w:ascii="Arial" w:eastAsia="Arial" w:hAnsi="Arial" w:cs="Arial"/>
              <w:sz w:val="18"/>
              <w:szCs w:val="18"/>
            </w:rPr>
          </w:pPr>
        </w:p>
      </w:tc>
      <w:tc>
        <w:tcPr>
          <w:tcW w:w="4234" w:type="dxa"/>
          <w:vMerge/>
          <w:tcBorders>
            <w:top w:val="single" w:sz="4" w:space="0" w:color="000000"/>
            <w:left w:val="nil"/>
            <w:bottom w:val="single" w:sz="4" w:space="0" w:color="auto"/>
            <w:right w:val="single" w:sz="4" w:space="0" w:color="000000"/>
          </w:tcBorders>
          <w:vAlign w:val="center"/>
        </w:tcPr>
        <w:p w14:paraId="354B50DF" w14:textId="77777777" w:rsidR="00D779F6" w:rsidRDefault="00D779F6">
          <w:pPr>
            <w:widowControl w:val="0"/>
            <w:pBdr>
              <w:top w:val="nil"/>
              <w:left w:val="nil"/>
              <w:bottom w:val="nil"/>
              <w:right w:val="nil"/>
              <w:between w:val="nil"/>
            </w:pBdr>
            <w:spacing w:after="0" w:line="276" w:lineRule="auto"/>
            <w:rPr>
              <w:rFonts w:ascii="Arial" w:eastAsia="Arial" w:hAnsi="Arial" w:cs="Arial"/>
              <w:sz w:val="18"/>
              <w:szCs w:val="18"/>
            </w:rPr>
          </w:pPr>
        </w:p>
      </w:tc>
      <w:tc>
        <w:tcPr>
          <w:tcW w:w="2233" w:type="dxa"/>
          <w:tcBorders>
            <w:top w:val="single" w:sz="4" w:space="0" w:color="000000"/>
            <w:left w:val="nil"/>
            <w:bottom w:val="single" w:sz="4" w:space="0" w:color="000000"/>
            <w:right w:val="single" w:sz="4" w:space="0" w:color="000000"/>
          </w:tcBorders>
          <w:vAlign w:val="center"/>
        </w:tcPr>
        <w:p w14:paraId="256A47BE" w14:textId="77777777" w:rsidR="00D779F6" w:rsidRDefault="00300AB1">
          <w:pPr>
            <w:rPr>
              <w:rFonts w:ascii="Arial" w:eastAsia="Arial" w:hAnsi="Arial" w:cs="Arial"/>
              <w:sz w:val="18"/>
              <w:szCs w:val="18"/>
            </w:rPr>
          </w:pPr>
          <w:r>
            <w:rPr>
              <w:rFonts w:ascii="Arial" w:eastAsia="Arial" w:hAnsi="Arial" w:cs="Arial"/>
              <w:sz w:val="18"/>
              <w:szCs w:val="18"/>
            </w:rPr>
            <w:t>FECHA: 14-Nov-2019</w:t>
          </w:r>
        </w:p>
      </w:tc>
    </w:tr>
  </w:tbl>
  <w:p w14:paraId="6579BB2B" w14:textId="77777777" w:rsidR="00D779F6" w:rsidRDefault="00D779F6">
    <w:pPr>
      <w:pBdr>
        <w:top w:val="nil"/>
        <w:left w:val="nil"/>
        <w:bottom w:val="nil"/>
        <w:right w:val="nil"/>
        <w:between w:val="nil"/>
      </w:pBdr>
      <w:tabs>
        <w:tab w:val="center" w:pos="4419"/>
        <w:tab w:val="right" w:pos="8838"/>
      </w:tabs>
      <w:spacing w:after="0" w:line="240" w:lineRule="auto"/>
      <w:rPr>
        <w:color w:val="000000"/>
      </w:rPr>
    </w:pPr>
  </w:p>
  <w:p w14:paraId="0A0E6087" w14:textId="77777777" w:rsidR="00D779F6" w:rsidRDefault="00D779F6">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3AB3"/>
    <w:multiLevelType w:val="hybridMultilevel"/>
    <w:tmpl w:val="4A38D058"/>
    <w:lvl w:ilvl="0" w:tplc="74C07134">
      <w:start w:val="2"/>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F9A3E86"/>
    <w:multiLevelType w:val="hybridMultilevel"/>
    <w:tmpl w:val="D3644344"/>
    <w:lvl w:ilvl="0" w:tplc="845416B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EF426D"/>
    <w:multiLevelType w:val="multilevel"/>
    <w:tmpl w:val="1DEC70D0"/>
    <w:lvl w:ilvl="0">
      <w:start w:val="1"/>
      <w:numFmt w:val="upperRoman"/>
      <w:lvlText w:val="%1."/>
      <w:lvlJc w:val="left"/>
      <w:pPr>
        <w:ind w:left="108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6B6BCD"/>
    <w:multiLevelType w:val="hybridMultilevel"/>
    <w:tmpl w:val="350EE692"/>
    <w:lvl w:ilvl="0" w:tplc="17EAD3AE">
      <w:start w:val="2"/>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710CD4"/>
    <w:multiLevelType w:val="multilevel"/>
    <w:tmpl w:val="884063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67421C"/>
    <w:multiLevelType w:val="multilevel"/>
    <w:tmpl w:val="F7B22C3E"/>
    <w:lvl w:ilvl="0">
      <w:start w:val="1"/>
      <w:numFmt w:val="upperRoman"/>
      <w:lvlText w:val="%1."/>
      <w:lvlJc w:val="left"/>
      <w:pPr>
        <w:ind w:left="108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68A1872"/>
    <w:multiLevelType w:val="multilevel"/>
    <w:tmpl w:val="EDD6CAFE"/>
    <w:lvl w:ilvl="0">
      <w:start w:val="1"/>
      <w:numFmt w:val="upperRoman"/>
      <w:lvlText w:val="%1."/>
      <w:lvlJc w:val="left"/>
      <w:pPr>
        <w:ind w:left="1080" w:hanging="72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3A43776"/>
    <w:multiLevelType w:val="multilevel"/>
    <w:tmpl w:val="D9983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4"/>
  </w:num>
  <w:num w:numId="3">
    <w:abstractNumId w:val="5"/>
  </w:num>
  <w:num w:numId="4">
    <w:abstractNumId w:val="6"/>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9F6"/>
    <w:rsid w:val="001B06DD"/>
    <w:rsid w:val="001E5B1F"/>
    <w:rsid w:val="00214E0A"/>
    <w:rsid w:val="002265A6"/>
    <w:rsid w:val="00300AB1"/>
    <w:rsid w:val="003404F8"/>
    <w:rsid w:val="00376A94"/>
    <w:rsid w:val="0046564E"/>
    <w:rsid w:val="00491102"/>
    <w:rsid w:val="004D269B"/>
    <w:rsid w:val="006D67E5"/>
    <w:rsid w:val="007B007D"/>
    <w:rsid w:val="007C058B"/>
    <w:rsid w:val="008A6B41"/>
    <w:rsid w:val="00901CAC"/>
    <w:rsid w:val="00A12BE0"/>
    <w:rsid w:val="00A41F58"/>
    <w:rsid w:val="00AD1392"/>
    <w:rsid w:val="00B27B86"/>
    <w:rsid w:val="00B67407"/>
    <w:rsid w:val="00C54CF2"/>
    <w:rsid w:val="00D779F6"/>
    <w:rsid w:val="00E14F3B"/>
    <w:rsid w:val="00EB5EDE"/>
    <w:rsid w:val="00FB44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1BB1"/>
  <w15:docId w15:val="{D7027AB1-40A7-4D6A-9E21-E3D42BEF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F22"/>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styleId="Refdecomentario">
    <w:name w:val="annotation reference"/>
    <w:basedOn w:val="Fuentedeprrafopredeter"/>
    <w:uiPriority w:val="99"/>
    <w:semiHidden/>
    <w:rsid w:val="00A003B5"/>
    <w:rPr>
      <w:rFonts w:cs="Times New Roman"/>
      <w:sz w:val="16"/>
    </w:rPr>
  </w:style>
  <w:style w:type="paragraph" w:styleId="Textocomentario">
    <w:name w:val="annotation text"/>
    <w:basedOn w:val="Normal"/>
    <w:link w:val="TextocomentarioCar"/>
    <w:uiPriority w:val="99"/>
    <w:semiHidden/>
    <w:rsid w:val="00A003B5"/>
    <w:pPr>
      <w:spacing w:after="0" w:line="240" w:lineRule="auto"/>
    </w:pPr>
    <w:rPr>
      <w:rFonts w:ascii="Arial" w:eastAsia="Times New Roman" w:hAnsi="Arial" w:cs="Times New Roman"/>
      <w:color w:val="000000"/>
      <w:sz w:val="20"/>
      <w:szCs w:val="20"/>
      <w:lang w:val="es-ES" w:eastAsia="es-ES"/>
    </w:rPr>
  </w:style>
  <w:style w:type="character" w:customStyle="1" w:styleId="TextocomentarioCar">
    <w:name w:val="Texto comentario Car"/>
    <w:basedOn w:val="Fuentedeprrafopredeter"/>
    <w:link w:val="Textocomentario"/>
    <w:uiPriority w:val="99"/>
    <w:semiHidden/>
    <w:rsid w:val="00A003B5"/>
    <w:rPr>
      <w:rFonts w:ascii="Arial" w:eastAsia="Times New Roman" w:hAnsi="Arial" w:cs="Times New Roman"/>
      <w:color w:val="000000"/>
      <w:kern w:val="0"/>
      <w:sz w:val="20"/>
      <w:szCs w:val="20"/>
      <w:lang w:val="es-ES" w:eastAsia="es-ES"/>
    </w:rPr>
  </w:style>
  <w:style w:type="paragraph" w:styleId="Prrafodelista">
    <w:name w:val="List Paragraph"/>
    <w:basedOn w:val="Normal"/>
    <w:uiPriority w:val="1"/>
    <w:qFormat/>
    <w:rsid w:val="00A003B5"/>
    <w:pPr>
      <w:ind w:left="720"/>
      <w:contextualSpacing/>
    </w:pPr>
  </w:style>
  <w:style w:type="paragraph" w:styleId="Encabezado">
    <w:name w:val="header"/>
    <w:basedOn w:val="Normal"/>
    <w:link w:val="EncabezadoCar"/>
    <w:uiPriority w:val="99"/>
    <w:unhideWhenUsed/>
    <w:rsid w:val="00E719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1913"/>
  </w:style>
  <w:style w:type="paragraph" w:styleId="Piedepgina">
    <w:name w:val="footer"/>
    <w:basedOn w:val="Normal"/>
    <w:link w:val="PiedepginaCar"/>
    <w:uiPriority w:val="99"/>
    <w:unhideWhenUsed/>
    <w:rsid w:val="00E719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1913"/>
  </w:style>
  <w:style w:type="paragraph" w:styleId="Sinespaciado">
    <w:name w:val="No Spacing"/>
    <w:qFormat/>
    <w:rsid w:val="0031111A"/>
    <w:pPr>
      <w:spacing w:after="0" w:line="240" w:lineRule="auto"/>
    </w:pPr>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uiPriority w:val="1"/>
    <w:qFormat/>
    <w:rsid w:val="0031111A"/>
    <w:pPr>
      <w:widowControl w:val="0"/>
      <w:autoSpaceDE w:val="0"/>
      <w:autoSpaceDN w:val="0"/>
      <w:spacing w:after="0" w:line="240" w:lineRule="auto"/>
    </w:pPr>
    <w:rPr>
      <w:rFonts w:ascii="Arial" w:eastAsia="Arial" w:hAnsi="Arial" w:cs="Arial"/>
      <w:lang w:val="es-ES"/>
    </w:rPr>
  </w:style>
  <w:style w:type="character" w:customStyle="1" w:styleId="TextoindependienteCar">
    <w:name w:val="Texto independiente Car"/>
    <w:basedOn w:val="Fuentedeprrafopredeter"/>
    <w:link w:val="Textoindependiente"/>
    <w:uiPriority w:val="1"/>
    <w:rsid w:val="0031111A"/>
    <w:rPr>
      <w:rFonts w:ascii="Arial" w:eastAsia="Arial" w:hAnsi="Arial" w:cs="Arial"/>
      <w:kern w:val="0"/>
      <w:lang w:val="es-ES"/>
    </w:rPr>
  </w:style>
  <w:style w:type="paragraph" w:styleId="NormalWeb">
    <w:name w:val="Normal (Web)"/>
    <w:basedOn w:val="Normal"/>
    <w:uiPriority w:val="99"/>
    <w:unhideWhenUsed/>
    <w:rsid w:val="003111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1111A"/>
  </w:style>
  <w:style w:type="paragraph" w:customStyle="1" w:styleId="centrado">
    <w:name w:val="centrado"/>
    <w:basedOn w:val="Normal"/>
    <w:rsid w:val="0031111A"/>
    <w:pPr>
      <w:spacing w:before="100" w:beforeAutospacing="1" w:after="100" w:afterAutospacing="1" w:line="240" w:lineRule="auto"/>
    </w:pPr>
    <w:rPr>
      <w:rFonts w:ascii="Times New Roman" w:eastAsia="Times New Roman" w:hAnsi="Times New Roman" w:cs="Times New Roman"/>
      <w:sz w:val="24"/>
      <w:szCs w:val="24"/>
      <w:lang w:val="es-ES_tradnl" w:eastAsia="es-ES_tradnl"/>
    </w:rPr>
  </w:style>
  <w:style w:type="character" w:customStyle="1" w:styleId="baj">
    <w:name w:val="b_aj"/>
    <w:basedOn w:val="Fuentedeprrafopredeter"/>
    <w:rsid w:val="0031111A"/>
  </w:style>
  <w:style w:type="paragraph" w:styleId="Textodeglobo">
    <w:name w:val="Balloon Text"/>
    <w:basedOn w:val="Normal"/>
    <w:link w:val="TextodegloboCar"/>
    <w:uiPriority w:val="99"/>
    <w:semiHidden/>
    <w:unhideWhenUsed/>
    <w:rsid w:val="00105DF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5DFB"/>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paragraph" w:styleId="Textonotapie">
    <w:name w:val="footnote text"/>
    <w:basedOn w:val="Normal"/>
    <w:link w:val="TextonotapieCar"/>
    <w:uiPriority w:val="99"/>
    <w:semiHidden/>
    <w:unhideWhenUsed/>
    <w:rsid w:val="006D67E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D67E5"/>
    <w:rPr>
      <w:sz w:val="20"/>
      <w:szCs w:val="20"/>
    </w:rPr>
  </w:style>
  <w:style w:type="character" w:styleId="Refdenotaalpie">
    <w:name w:val="footnote reference"/>
    <w:basedOn w:val="Fuentedeprrafopredeter"/>
    <w:uiPriority w:val="99"/>
    <w:semiHidden/>
    <w:unhideWhenUsed/>
    <w:rsid w:val="006D67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alcaldiabogota.gov.co/sisjur/normas/Norma1.jsp?i=412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fEZLCj5/9qSfUjRC66LsY5XNlQ==">CgMxLjAyCGguZ2pkZ3hzMgloLjFmb2I5dGUyCWguM3pueXNoNzgAciExSllUS21qV3VhZXdPSVVLN3ZkWTFZSHpQaTVvNUZ4cGk=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2B5532-8800-4901-BA8B-E5EB8EBB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3763</Words>
  <Characters>20700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VIRGILIO FARFAN ROJAS</dc:creator>
  <cp:lastModifiedBy>ANA YOLANDA DURAN RODRIGUEZ</cp:lastModifiedBy>
  <cp:revision>2</cp:revision>
  <cp:lastPrinted>2025-01-09T20:32:00Z</cp:lastPrinted>
  <dcterms:created xsi:type="dcterms:W3CDTF">2025-04-04T19:59:00Z</dcterms:created>
  <dcterms:modified xsi:type="dcterms:W3CDTF">2025-04-04T19:59:00Z</dcterms:modified>
</cp:coreProperties>
</file>